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7D31C" w14:textId="77777777" w:rsidR="007F127D" w:rsidRPr="00494E8D" w:rsidRDefault="12EB3BA4" w:rsidP="00724FEF">
      <w:pPr>
        <w:spacing w:line="276" w:lineRule="auto"/>
        <w:jc w:val="both"/>
      </w:pPr>
      <w:r w:rsidRPr="00494E8D">
        <w:t>MEMO</w:t>
      </w:r>
    </w:p>
    <w:p w14:paraId="7A4AA79E" w14:textId="285B31D8" w:rsidR="007F127D" w:rsidRPr="00494E8D" w:rsidRDefault="12EB3BA4" w:rsidP="00724FEF">
      <w:pPr>
        <w:spacing w:line="276" w:lineRule="auto"/>
        <w:jc w:val="both"/>
        <w:rPr>
          <w:rFonts w:cstheme="minorBidi"/>
        </w:rPr>
      </w:pPr>
      <w:r w:rsidRPr="00494E8D">
        <w:rPr>
          <w:rFonts w:cstheme="minorBidi"/>
        </w:rPr>
        <w:t>Datum  :</w:t>
      </w:r>
      <w:r w:rsidR="007F127D" w:rsidRPr="00494E8D">
        <w:tab/>
      </w:r>
      <w:r w:rsidR="61499E18" w:rsidRPr="00494E8D">
        <w:rPr>
          <w:rFonts w:cstheme="minorBidi"/>
        </w:rPr>
        <w:t>1</w:t>
      </w:r>
      <w:r w:rsidR="00066738">
        <w:rPr>
          <w:rFonts w:cstheme="minorBidi"/>
        </w:rPr>
        <w:t>9</w:t>
      </w:r>
      <w:r w:rsidR="61499E18" w:rsidRPr="00494E8D">
        <w:rPr>
          <w:rFonts w:cstheme="minorBidi"/>
        </w:rPr>
        <w:t xml:space="preserve"> december 2024</w:t>
      </w:r>
    </w:p>
    <w:p w14:paraId="4FAC3394" w14:textId="1B292D9C" w:rsidR="007F127D" w:rsidRPr="00494E8D" w:rsidRDefault="12EB3BA4" w:rsidP="00724FEF">
      <w:pPr>
        <w:spacing w:line="276" w:lineRule="auto"/>
        <w:jc w:val="both"/>
      </w:pPr>
      <w:r w:rsidRPr="00494E8D">
        <w:t>Inzake</w:t>
      </w:r>
      <w:r w:rsidR="007F127D" w:rsidRPr="00494E8D">
        <w:tab/>
      </w:r>
      <w:r w:rsidRPr="00494E8D">
        <w:t>:</w:t>
      </w:r>
      <w:r w:rsidR="007F127D" w:rsidRPr="00494E8D">
        <w:tab/>
      </w:r>
      <w:r w:rsidR="764A12E8" w:rsidRPr="00494E8D">
        <w:t>Clustermunitie Oekraïne</w:t>
      </w:r>
    </w:p>
    <w:p w14:paraId="68A2E694" w14:textId="195BB0CE" w:rsidR="007F127D" w:rsidRPr="00494E8D" w:rsidRDefault="007F127D" w:rsidP="00724FEF">
      <w:pPr>
        <w:jc w:val="both"/>
      </w:pPr>
      <w:r w:rsidRPr="00494E8D">
        <w:rPr>
          <w:noProof/>
          <w:sz w:val="24"/>
          <w:szCs w:val="24"/>
        </w:rPr>
        <mc:AlternateContent>
          <mc:Choice Requires="wps">
            <w:drawing>
              <wp:anchor distT="4294967295" distB="4294967295" distL="114300" distR="114300" simplePos="0" relativeHeight="251658240" behindDoc="0" locked="0" layoutInCell="0" allowOverlap="1" wp14:anchorId="61E3A6AD" wp14:editId="303C6E2E">
                <wp:simplePos x="0" y="0"/>
                <wp:positionH relativeFrom="margin">
                  <wp:posOffset>0</wp:posOffset>
                </wp:positionH>
                <wp:positionV relativeFrom="paragraph">
                  <wp:posOffset>74929</wp:posOffset>
                </wp:positionV>
                <wp:extent cx="5303520" cy="0"/>
                <wp:effectExtent l="0" t="0" r="0" b="0"/>
                <wp:wrapNone/>
                <wp:docPr id="287560973"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line id="Rechte verbindingslijn 1"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o:allowincell="f" from="0,5.9pt" to="417.6pt,5.9pt" w14:anchorId="34D28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yC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">
                <w10:wrap anchorx="margin"/>
              </v:line>
            </w:pict>
          </mc:Fallback>
        </mc:AlternateContent>
      </w:r>
    </w:p>
    <w:p w14:paraId="182572FF" w14:textId="64124087" w:rsidR="00066738" w:rsidRDefault="00BB0F52">
      <w:pPr>
        <w:pStyle w:val="Inhopg1"/>
        <w:tabs>
          <w:tab w:val="left" w:pos="440"/>
          <w:tab w:val="right" w:leader="dot" w:pos="9062"/>
        </w:tabs>
        <w:rPr>
          <w:rFonts w:eastAsiaTheme="minorEastAsia" w:cstheme="minorBidi"/>
          <w:b w:val="0"/>
          <w:bCs w:val="0"/>
          <w:caps w:val="0"/>
          <w:noProof/>
          <w:kern w:val="2"/>
          <w:sz w:val="24"/>
          <w:szCs w:val="24"/>
          <w:lang w:eastAsia="nl-NL"/>
          <w14:ligatures w14:val="standardContextual"/>
        </w:rPr>
      </w:pPr>
      <w:r>
        <w:fldChar w:fldCharType="begin"/>
      </w:r>
      <w:r>
        <w:instrText xml:space="preserve"> TOC \o "1-3" \h \z \u </w:instrText>
      </w:r>
      <w:r>
        <w:fldChar w:fldCharType="separate"/>
      </w:r>
      <w:hyperlink w:anchor="_Toc185491835" w:history="1">
        <w:r w:rsidR="00066738" w:rsidRPr="00960F06">
          <w:rPr>
            <w:rStyle w:val="Hyperlink"/>
            <w:noProof/>
          </w:rPr>
          <w:t>1</w:t>
        </w:r>
        <w:r w:rsidR="00066738">
          <w:rPr>
            <w:rFonts w:eastAsiaTheme="minorEastAsia" w:cstheme="minorBidi"/>
            <w:b w:val="0"/>
            <w:bCs w:val="0"/>
            <w:caps w:val="0"/>
            <w:noProof/>
            <w:kern w:val="2"/>
            <w:sz w:val="24"/>
            <w:szCs w:val="24"/>
            <w:lang w:eastAsia="nl-NL"/>
            <w14:ligatures w14:val="standardContextual"/>
          </w:rPr>
          <w:tab/>
        </w:r>
        <w:r w:rsidR="00066738" w:rsidRPr="00960F06">
          <w:rPr>
            <w:rStyle w:val="Hyperlink"/>
            <w:noProof/>
          </w:rPr>
          <w:t>Introductie</w:t>
        </w:r>
        <w:r w:rsidR="00066738">
          <w:rPr>
            <w:noProof/>
            <w:webHidden/>
          </w:rPr>
          <w:tab/>
        </w:r>
        <w:r w:rsidR="00066738">
          <w:rPr>
            <w:noProof/>
            <w:webHidden/>
          </w:rPr>
          <w:fldChar w:fldCharType="begin"/>
        </w:r>
        <w:r w:rsidR="00066738">
          <w:rPr>
            <w:noProof/>
            <w:webHidden/>
          </w:rPr>
          <w:instrText xml:space="preserve"> PAGEREF _Toc185491835 \h </w:instrText>
        </w:r>
        <w:r w:rsidR="00066738">
          <w:rPr>
            <w:noProof/>
            <w:webHidden/>
          </w:rPr>
        </w:r>
        <w:r w:rsidR="00066738">
          <w:rPr>
            <w:noProof/>
            <w:webHidden/>
          </w:rPr>
          <w:fldChar w:fldCharType="separate"/>
        </w:r>
        <w:r w:rsidR="00066738">
          <w:rPr>
            <w:noProof/>
            <w:webHidden/>
          </w:rPr>
          <w:t>2</w:t>
        </w:r>
        <w:r w:rsidR="00066738">
          <w:rPr>
            <w:noProof/>
            <w:webHidden/>
          </w:rPr>
          <w:fldChar w:fldCharType="end"/>
        </w:r>
      </w:hyperlink>
    </w:p>
    <w:p w14:paraId="6FB95E86" w14:textId="77B0ADF9"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36" w:history="1">
        <w:r w:rsidRPr="00960F06">
          <w:rPr>
            <w:rStyle w:val="Hyperlink"/>
            <w:noProof/>
          </w:rPr>
          <w:t>1.1</w:t>
        </w:r>
        <w:r>
          <w:rPr>
            <w:rFonts w:eastAsiaTheme="minorEastAsia" w:cstheme="minorBidi"/>
            <w:smallCaps w:val="0"/>
            <w:noProof/>
            <w:kern w:val="2"/>
            <w:sz w:val="24"/>
            <w:szCs w:val="24"/>
            <w:lang w:eastAsia="nl-NL"/>
            <w14:ligatures w14:val="standardContextual"/>
          </w:rPr>
          <w:tab/>
        </w:r>
        <w:r w:rsidRPr="00960F06">
          <w:rPr>
            <w:rStyle w:val="Hyperlink"/>
            <w:noProof/>
          </w:rPr>
          <w:t>Samenvatting</w:t>
        </w:r>
        <w:r>
          <w:rPr>
            <w:noProof/>
            <w:webHidden/>
          </w:rPr>
          <w:tab/>
        </w:r>
        <w:r>
          <w:rPr>
            <w:noProof/>
            <w:webHidden/>
          </w:rPr>
          <w:fldChar w:fldCharType="begin"/>
        </w:r>
        <w:r>
          <w:rPr>
            <w:noProof/>
            <w:webHidden/>
          </w:rPr>
          <w:instrText xml:space="preserve"> PAGEREF _Toc185491836 \h </w:instrText>
        </w:r>
        <w:r>
          <w:rPr>
            <w:noProof/>
            <w:webHidden/>
          </w:rPr>
        </w:r>
        <w:r>
          <w:rPr>
            <w:noProof/>
            <w:webHidden/>
          </w:rPr>
          <w:fldChar w:fldCharType="separate"/>
        </w:r>
        <w:r>
          <w:rPr>
            <w:noProof/>
            <w:webHidden/>
          </w:rPr>
          <w:t>2</w:t>
        </w:r>
        <w:r>
          <w:rPr>
            <w:noProof/>
            <w:webHidden/>
          </w:rPr>
          <w:fldChar w:fldCharType="end"/>
        </w:r>
      </w:hyperlink>
    </w:p>
    <w:p w14:paraId="356C3C3B" w14:textId="0F1FD295" w:rsidR="00066738" w:rsidRDefault="00066738">
      <w:pPr>
        <w:pStyle w:val="Inhopg1"/>
        <w:tabs>
          <w:tab w:val="left" w:pos="440"/>
          <w:tab w:val="right" w:leader="dot" w:pos="9062"/>
        </w:tabs>
        <w:rPr>
          <w:rFonts w:eastAsiaTheme="minorEastAsia" w:cstheme="minorBidi"/>
          <w:b w:val="0"/>
          <w:bCs w:val="0"/>
          <w:caps w:val="0"/>
          <w:noProof/>
          <w:kern w:val="2"/>
          <w:sz w:val="24"/>
          <w:szCs w:val="24"/>
          <w:lang w:eastAsia="nl-NL"/>
          <w14:ligatures w14:val="standardContextual"/>
        </w:rPr>
      </w:pPr>
      <w:hyperlink w:anchor="_Toc185491837" w:history="1">
        <w:r w:rsidRPr="00960F06">
          <w:rPr>
            <w:rStyle w:val="Hyperlink"/>
            <w:noProof/>
          </w:rPr>
          <w:t>2</w:t>
        </w:r>
        <w:r>
          <w:rPr>
            <w:rFonts w:eastAsiaTheme="minorEastAsia" w:cstheme="minorBidi"/>
            <w:b w:val="0"/>
            <w:bCs w:val="0"/>
            <w:caps w:val="0"/>
            <w:noProof/>
            <w:kern w:val="2"/>
            <w:sz w:val="24"/>
            <w:szCs w:val="24"/>
            <w:lang w:eastAsia="nl-NL"/>
            <w14:ligatures w14:val="standardContextual"/>
          </w:rPr>
          <w:tab/>
        </w:r>
        <w:r w:rsidRPr="00960F06">
          <w:rPr>
            <w:rStyle w:val="Hyperlink"/>
            <w:noProof/>
          </w:rPr>
          <w:t>Feiten</w:t>
        </w:r>
        <w:r>
          <w:rPr>
            <w:noProof/>
            <w:webHidden/>
          </w:rPr>
          <w:tab/>
        </w:r>
        <w:r>
          <w:rPr>
            <w:noProof/>
            <w:webHidden/>
          </w:rPr>
          <w:fldChar w:fldCharType="begin"/>
        </w:r>
        <w:r>
          <w:rPr>
            <w:noProof/>
            <w:webHidden/>
          </w:rPr>
          <w:instrText xml:space="preserve"> PAGEREF _Toc185491837 \h </w:instrText>
        </w:r>
        <w:r>
          <w:rPr>
            <w:noProof/>
            <w:webHidden/>
          </w:rPr>
        </w:r>
        <w:r>
          <w:rPr>
            <w:noProof/>
            <w:webHidden/>
          </w:rPr>
          <w:fldChar w:fldCharType="separate"/>
        </w:r>
        <w:r>
          <w:rPr>
            <w:noProof/>
            <w:webHidden/>
          </w:rPr>
          <w:t>4</w:t>
        </w:r>
        <w:r>
          <w:rPr>
            <w:noProof/>
            <w:webHidden/>
          </w:rPr>
          <w:fldChar w:fldCharType="end"/>
        </w:r>
      </w:hyperlink>
    </w:p>
    <w:p w14:paraId="144F7F86" w14:textId="1F7AE954"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38" w:history="1">
        <w:r w:rsidRPr="00960F06">
          <w:rPr>
            <w:rStyle w:val="Hyperlink"/>
            <w:noProof/>
          </w:rPr>
          <w:t>2.1</w:t>
        </w:r>
        <w:r>
          <w:rPr>
            <w:rFonts w:eastAsiaTheme="minorEastAsia" w:cstheme="minorBidi"/>
            <w:smallCaps w:val="0"/>
            <w:noProof/>
            <w:kern w:val="2"/>
            <w:sz w:val="24"/>
            <w:szCs w:val="24"/>
            <w:lang w:eastAsia="nl-NL"/>
            <w14:ligatures w14:val="standardContextual"/>
          </w:rPr>
          <w:tab/>
        </w:r>
        <w:r w:rsidRPr="00960F06">
          <w:rPr>
            <w:rStyle w:val="Hyperlink"/>
            <w:noProof/>
          </w:rPr>
          <w:t>Militaire steun Nederland</w:t>
        </w:r>
        <w:r>
          <w:rPr>
            <w:noProof/>
            <w:webHidden/>
          </w:rPr>
          <w:tab/>
        </w:r>
        <w:r>
          <w:rPr>
            <w:noProof/>
            <w:webHidden/>
          </w:rPr>
          <w:fldChar w:fldCharType="begin"/>
        </w:r>
        <w:r>
          <w:rPr>
            <w:noProof/>
            <w:webHidden/>
          </w:rPr>
          <w:instrText xml:space="preserve"> PAGEREF _Toc185491838 \h </w:instrText>
        </w:r>
        <w:r>
          <w:rPr>
            <w:noProof/>
            <w:webHidden/>
          </w:rPr>
        </w:r>
        <w:r>
          <w:rPr>
            <w:noProof/>
            <w:webHidden/>
          </w:rPr>
          <w:fldChar w:fldCharType="separate"/>
        </w:r>
        <w:r>
          <w:rPr>
            <w:noProof/>
            <w:webHidden/>
          </w:rPr>
          <w:t>4</w:t>
        </w:r>
        <w:r>
          <w:rPr>
            <w:noProof/>
            <w:webHidden/>
          </w:rPr>
          <w:fldChar w:fldCharType="end"/>
        </w:r>
      </w:hyperlink>
    </w:p>
    <w:p w14:paraId="48DBF439" w14:textId="3EA1E103"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39" w:history="1">
        <w:r w:rsidRPr="00960F06">
          <w:rPr>
            <w:rStyle w:val="Hyperlink"/>
            <w:noProof/>
          </w:rPr>
          <w:t>2.2</w:t>
        </w:r>
        <w:r>
          <w:rPr>
            <w:rFonts w:eastAsiaTheme="minorEastAsia" w:cstheme="minorBidi"/>
            <w:smallCaps w:val="0"/>
            <w:noProof/>
            <w:kern w:val="2"/>
            <w:sz w:val="24"/>
            <w:szCs w:val="24"/>
            <w:lang w:eastAsia="nl-NL"/>
            <w14:ligatures w14:val="standardContextual"/>
          </w:rPr>
          <w:tab/>
        </w:r>
        <w:r w:rsidRPr="00960F06">
          <w:rPr>
            <w:rStyle w:val="Hyperlink"/>
            <w:noProof/>
          </w:rPr>
          <w:t>Gebruik van clustermunitie door Oekraïne</w:t>
        </w:r>
        <w:r>
          <w:rPr>
            <w:noProof/>
            <w:webHidden/>
          </w:rPr>
          <w:tab/>
        </w:r>
        <w:r>
          <w:rPr>
            <w:noProof/>
            <w:webHidden/>
          </w:rPr>
          <w:fldChar w:fldCharType="begin"/>
        </w:r>
        <w:r>
          <w:rPr>
            <w:noProof/>
            <w:webHidden/>
          </w:rPr>
          <w:instrText xml:space="preserve"> PAGEREF _Toc185491839 \h </w:instrText>
        </w:r>
        <w:r>
          <w:rPr>
            <w:noProof/>
            <w:webHidden/>
          </w:rPr>
        </w:r>
        <w:r>
          <w:rPr>
            <w:noProof/>
            <w:webHidden/>
          </w:rPr>
          <w:fldChar w:fldCharType="separate"/>
        </w:r>
        <w:r>
          <w:rPr>
            <w:noProof/>
            <w:webHidden/>
          </w:rPr>
          <w:t>4</w:t>
        </w:r>
        <w:r>
          <w:rPr>
            <w:noProof/>
            <w:webHidden/>
          </w:rPr>
          <w:fldChar w:fldCharType="end"/>
        </w:r>
      </w:hyperlink>
    </w:p>
    <w:p w14:paraId="3934FF8E" w14:textId="59776D7F"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40" w:history="1">
        <w:r w:rsidRPr="00960F06">
          <w:rPr>
            <w:rStyle w:val="Hyperlink"/>
            <w:noProof/>
          </w:rPr>
          <w:t>2.3</w:t>
        </w:r>
        <w:r>
          <w:rPr>
            <w:rFonts w:eastAsiaTheme="minorEastAsia" w:cstheme="minorBidi"/>
            <w:smallCaps w:val="0"/>
            <w:noProof/>
            <w:kern w:val="2"/>
            <w:sz w:val="24"/>
            <w:szCs w:val="24"/>
            <w:lang w:eastAsia="nl-NL"/>
            <w14:ligatures w14:val="standardContextual"/>
          </w:rPr>
          <w:tab/>
        </w:r>
        <w:r w:rsidRPr="00960F06">
          <w:rPr>
            <w:rStyle w:val="Hyperlink"/>
            <w:noProof/>
          </w:rPr>
          <w:t>F-16’s zijn geschikt om clustermunitie af te werpen</w:t>
        </w:r>
        <w:r>
          <w:rPr>
            <w:noProof/>
            <w:webHidden/>
          </w:rPr>
          <w:tab/>
        </w:r>
        <w:r>
          <w:rPr>
            <w:noProof/>
            <w:webHidden/>
          </w:rPr>
          <w:fldChar w:fldCharType="begin"/>
        </w:r>
        <w:r>
          <w:rPr>
            <w:noProof/>
            <w:webHidden/>
          </w:rPr>
          <w:instrText xml:space="preserve"> PAGEREF _Toc185491840 \h </w:instrText>
        </w:r>
        <w:r>
          <w:rPr>
            <w:noProof/>
            <w:webHidden/>
          </w:rPr>
        </w:r>
        <w:r>
          <w:rPr>
            <w:noProof/>
            <w:webHidden/>
          </w:rPr>
          <w:fldChar w:fldCharType="separate"/>
        </w:r>
        <w:r>
          <w:rPr>
            <w:noProof/>
            <w:webHidden/>
          </w:rPr>
          <w:t>5</w:t>
        </w:r>
        <w:r>
          <w:rPr>
            <w:noProof/>
            <w:webHidden/>
          </w:rPr>
          <w:fldChar w:fldCharType="end"/>
        </w:r>
      </w:hyperlink>
    </w:p>
    <w:p w14:paraId="413CC40D" w14:textId="4D51C90B"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41" w:history="1">
        <w:r w:rsidRPr="00960F06">
          <w:rPr>
            <w:rStyle w:val="Hyperlink"/>
            <w:noProof/>
          </w:rPr>
          <w:t>2.4</w:t>
        </w:r>
        <w:r>
          <w:rPr>
            <w:rFonts w:eastAsiaTheme="minorEastAsia" w:cstheme="minorBidi"/>
            <w:smallCaps w:val="0"/>
            <w:noProof/>
            <w:kern w:val="2"/>
            <w:sz w:val="24"/>
            <w:szCs w:val="24"/>
            <w:lang w:eastAsia="nl-NL"/>
            <w14:ligatures w14:val="standardContextual"/>
          </w:rPr>
          <w:tab/>
        </w:r>
        <w:r w:rsidRPr="00960F06">
          <w:rPr>
            <w:rStyle w:val="Hyperlink"/>
            <w:noProof/>
          </w:rPr>
          <w:t>Wetenschap bij Nederland over het gebruik van clustermunitie door Oekraïne</w:t>
        </w:r>
        <w:r>
          <w:rPr>
            <w:noProof/>
            <w:webHidden/>
          </w:rPr>
          <w:tab/>
        </w:r>
        <w:r>
          <w:rPr>
            <w:noProof/>
            <w:webHidden/>
          </w:rPr>
          <w:fldChar w:fldCharType="begin"/>
        </w:r>
        <w:r>
          <w:rPr>
            <w:noProof/>
            <w:webHidden/>
          </w:rPr>
          <w:instrText xml:space="preserve"> PAGEREF _Toc185491841 \h </w:instrText>
        </w:r>
        <w:r>
          <w:rPr>
            <w:noProof/>
            <w:webHidden/>
          </w:rPr>
        </w:r>
        <w:r>
          <w:rPr>
            <w:noProof/>
            <w:webHidden/>
          </w:rPr>
          <w:fldChar w:fldCharType="separate"/>
        </w:r>
        <w:r>
          <w:rPr>
            <w:noProof/>
            <w:webHidden/>
          </w:rPr>
          <w:t>6</w:t>
        </w:r>
        <w:r>
          <w:rPr>
            <w:noProof/>
            <w:webHidden/>
          </w:rPr>
          <w:fldChar w:fldCharType="end"/>
        </w:r>
      </w:hyperlink>
    </w:p>
    <w:p w14:paraId="5339FBEA" w14:textId="53BFE720" w:rsidR="00066738" w:rsidRDefault="00066738">
      <w:pPr>
        <w:pStyle w:val="Inhopg1"/>
        <w:tabs>
          <w:tab w:val="left" w:pos="440"/>
          <w:tab w:val="right" w:leader="dot" w:pos="9062"/>
        </w:tabs>
        <w:rPr>
          <w:rFonts w:eastAsiaTheme="minorEastAsia" w:cstheme="minorBidi"/>
          <w:b w:val="0"/>
          <w:bCs w:val="0"/>
          <w:caps w:val="0"/>
          <w:noProof/>
          <w:kern w:val="2"/>
          <w:sz w:val="24"/>
          <w:szCs w:val="24"/>
          <w:lang w:eastAsia="nl-NL"/>
          <w14:ligatures w14:val="standardContextual"/>
        </w:rPr>
      </w:pPr>
      <w:hyperlink w:anchor="_Toc185491842" w:history="1">
        <w:r w:rsidRPr="00960F06">
          <w:rPr>
            <w:rStyle w:val="Hyperlink"/>
            <w:noProof/>
          </w:rPr>
          <w:t>3</w:t>
        </w:r>
        <w:r>
          <w:rPr>
            <w:rFonts w:eastAsiaTheme="minorEastAsia" w:cstheme="minorBidi"/>
            <w:b w:val="0"/>
            <w:bCs w:val="0"/>
            <w:caps w:val="0"/>
            <w:noProof/>
            <w:kern w:val="2"/>
            <w:sz w:val="24"/>
            <w:szCs w:val="24"/>
            <w:lang w:eastAsia="nl-NL"/>
            <w14:ligatures w14:val="standardContextual"/>
          </w:rPr>
          <w:tab/>
        </w:r>
        <w:r w:rsidRPr="00960F06">
          <w:rPr>
            <w:rStyle w:val="Hyperlink"/>
            <w:noProof/>
          </w:rPr>
          <w:t>Verdrag inzake Clustermunitie: juridisch kader</w:t>
        </w:r>
        <w:r>
          <w:rPr>
            <w:noProof/>
            <w:webHidden/>
          </w:rPr>
          <w:tab/>
        </w:r>
        <w:r>
          <w:rPr>
            <w:noProof/>
            <w:webHidden/>
          </w:rPr>
          <w:fldChar w:fldCharType="begin"/>
        </w:r>
        <w:r>
          <w:rPr>
            <w:noProof/>
            <w:webHidden/>
          </w:rPr>
          <w:instrText xml:space="preserve"> PAGEREF _Toc185491842 \h </w:instrText>
        </w:r>
        <w:r>
          <w:rPr>
            <w:noProof/>
            <w:webHidden/>
          </w:rPr>
        </w:r>
        <w:r>
          <w:rPr>
            <w:noProof/>
            <w:webHidden/>
          </w:rPr>
          <w:fldChar w:fldCharType="separate"/>
        </w:r>
        <w:r>
          <w:rPr>
            <w:noProof/>
            <w:webHidden/>
          </w:rPr>
          <w:t>6</w:t>
        </w:r>
        <w:r>
          <w:rPr>
            <w:noProof/>
            <w:webHidden/>
          </w:rPr>
          <w:fldChar w:fldCharType="end"/>
        </w:r>
      </w:hyperlink>
    </w:p>
    <w:p w14:paraId="72822E00" w14:textId="0BE0795C"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43" w:history="1">
        <w:r w:rsidRPr="00960F06">
          <w:rPr>
            <w:rStyle w:val="Hyperlink"/>
            <w:noProof/>
          </w:rPr>
          <w:t>3.1</w:t>
        </w:r>
        <w:r>
          <w:rPr>
            <w:rFonts w:eastAsiaTheme="minorEastAsia" w:cstheme="minorBidi"/>
            <w:smallCaps w:val="0"/>
            <w:noProof/>
            <w:kern w:val="2"/>
            <w:sz w:val="24"/>
            <w:szCs w:val="24"/>
            <w:lang w:eastAsia="nl-NL"/>
            <w14:ligatures w14:val="standardContextual"/>
          </w:rPr>
          <w:tab/>
        </w:r>
        <w:r w:rsidRPr="00960F06">
          <w:rPr>
            <w:rStyle w:val="Hyperlink"/>
            <w:noProof/>
          </w:rPr>
          <w:t>Algemeen / verdragsbepalingen</w:t>
        </w:r>
        <w:r>
          <w:rPr>
            <w:noProof/>
            <w:webHidden/>
          </w:rPr>
          <w:tab/>
        </w:r>
        <w:r>
          <w:rPr>
            <w:noProof/>
            <w:webHidden/>
          </w:rPr>
          <w:fldChar w:fldCharType="begin"/>
        </w:r>
        <w:r>
          <w:rPr>
            <w:noProof/>
            <w:webHidden/>
          </w:rPr>
          <w:instrText xml:space="preserve"> PAGEREF _Toc185491843 \h </w:instrText>
        </w:r>
        <w:r>
          <w:rPr>
            <w:noProof/>
            <w:webHidden/>
          </w:rPr>
        </w:r>
        <w:r>
          <w:rPr>
            <w:noProof/>
            <w:webHidden/>
          </w:rPr>
          <w:fldChar w:fldCharType="separate"/>
        </w:r>
        <w:r>
          <w:rPr>
            <w:noProof/>
            <w:webHidden/>
          </w:rPr>
          <w:t>6</w:t>
        </w:r>
        <w:r>
          <w:rPr>
            <w:noProof/>
            <w:webHidden/>
          </w:rPr>
          <w:fldChar w:fldCharType="end"/>
        </w:r>
      </w:hyperlink>
    </w:p>
    <w:p w14:paraId="072BA8B8" w14:textId="68DEDFA8"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44" w:history="1">
        <w:r w:rsidRPr="00960F06">
          <w:rPr>
            <w:rStyle w:val="Hyperlink"/>
            <w:noProof/>
          </w:rPr>
          <w:t>3.2</w:t>
        </w:r>
        <w:r>
          <w:rPr>
            <w:rFonts w:eastAsiaTheme="minorEastAsia" w:cstheme="minorBidi"/>
            <w:smallCaps w:val="0"/>
            <w:noProof/>
            <w:kern w:val="2"/>
            <w:sz w:val="24"/>
            <w:szCs w:val="24"/>
            <w:lang w:eastAsia="nl-NL"/>
            <w14:ligatures w14:val="standardContextual"/>
          </w:rPr>
          <w:tab/>
        </w:r>
        <w:r w:rsidRPr="00960F06">
          <w:rPr>
            <w:rStyle w:val="Hyperlink"/>
            <w:noProof/>
          </w:rPr>
          <w:t>Steun aan gebruik clustermunitie (resultaatsverplichting)</w:t>
        </w:r>
        <w:r>
          <w:rPr>
            <w:noProof/>
            <w:webHidden/>
          </w:rPr>
          <w:tab/>
        </w:r>
        <w:r>
          <w:rPr>
            <w:noProof/>
            <w:webHidden/>
          </w:rPr>
          <w:fldChar w:fldCharType="begin"/>
        </w:r>
        <w:r>
          <w:rPr>
            <w:noProof/>
            <w:webHidden/>
          </w:rPr>
          <w:instrText xml:space="preserve"> PAGEREF _Toc185491844 \h </w:instrText>
        </w:r>
        <w:r>
          <w:rPr>
            <w:noProof/>
            <w:webHidden/>
          </w:rPr>
        </w:r>
        <w:r>
          <w:rPr>
            <w:noProof/>
            <w:webHidden/>
          </w:rPr>
          <w:fldChar w:fldCharType="separate"/>
        </w:r>
        <w:r>
          <w:rPr>
            <w:noProof/>
            <w:webHidden/>
          </w:rPr>
          <w:t>8</w:t>
        </w:r>
        <w:r>
          <w:rPr>
            <w:noProof/>
            <w:webHidden/>
          </w:rPr>
          <w:fldChar w:fldCharType="end"/>
        </w:r>
      </w:hyperlink>
    </w:p>
    <w:p w14:paraId="30F451EB" w14:textId="7300B6DD" w:rsidR="00066738" w:rsidRDefault="00066738">
      <w:pPr>
        <w:pStyle w:val="Inhopg3"/>
        <w:tabs>
          <w:tab w:val="left" w:pos="1100"/>
          <w:tab w:val="right" w:leader="dot" w:pos="9062"/>
        </w:tabs>
        <w:rPr>
          <w:rFonts w:eastAsiaTheme="minorEastAsia" w:cstheme="minorBidi"/>
          <w:i w:val="0"/>
          <w:iCs w:val="0"/>
          <w:noProof/>
          <w:kern w:val="2"/>
          <w:sz w:val="24"/>
          <w:szCs w:val="24"/>
          <w:lang w:eastAsia="nl-NL"/>
          <w14:ligatures w14:val="standardContextual"/>
        </w:rPr>
      </w:pPr>
      <w:hyperlink w:anchor="_Toc185491845" w:history="1">
        <w:r w:rsidRPr="00960F06">
          <w:rPr>
            <w:rStyle w:val="Hyperlink"/>
            <w:noProof/>
          </w:rPr>
          <w:t>3.2.1</w:t>
        </w:r>
        <w:r>
          <w:rPr>
            <w:rFonts w:eastAsiaTheme="minorEastAsia" w:cstheme="minorBidi"/>
            <w:i w:val="0"/>
            <w:iCs w:val="0"/>
            <w:noProof/>
            <w:kern w:val="2"/>
            <w:sz w:val="24"/>
            <w:szCs w:val="24"/>
            <w:lang w:eastAsia="nl-NL"/>
            <w14:ligatures w14:val="standardContextual"/>
          </w:rPr>
          <w:tab/>
        </w:r>
        <w:r w:rsidRPr="00960F06">
          <w:rPr>
            <w:rStyle w:val="Hyperlink"/>
            <w:noProof/>
          </w:rPr>
          <w:t>Standpunt Staat</w:t>
        </w:r>
        <w:r>
          <w:rPr>
            <w:noProof/>
            <w:webHidden/>
          </w:rPr>
          <w:tab/>
        </w:r>
        <w:r>
          <w:rPr>
            <w:noProof/>
            <w:webHidden/>
          </w:rPr>
          <w:fldChar w:fldCharType="begin"/>
        </w:r>
        <w:r>
          <w:rPr>
            <w:noProof/>
            <w:webHidden/>
          </w:rPr>
          <w:instrText xml:space="preserve"> PAGEREF _Toc185491845 \h </w:instrText>
        </w:r>
        <w:r>
          <w:rPr>
            <w:noProof/>
            <w:webHidden/>
          </w:rPr>
        </w:r>
        <w:r>
          <w:rPr>
            <w:noProof/>
            <w:webHidden/>
          </w:rPr>
          <w:fldChar w:fldCharType="separate"/>
        </w:r>
        <w:r>
          <w:rPr>
            <w:noProof/>
            <w:webHidden/>
          </w:rPr>
          <w:t>12</w:t>
        </w:r>
        <w:r>
          <w:rPr>
            <w:noProof/>
            <w:webHidden/>
          </w:rPr>
          <w:fldChar w:fldCharType="end"/>
        </w:r>
      </w:hyperlink>
    </w:p>
    <w:p w14:paraId="27F76B41" w14:textId="2D5EA15E"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46" w:history="1">
        <w:r w:rsidRPr="00960F06">
          <w:rPr>
            <w:rStyle w:val="Hyperlink"/>
            <w:rFonts w:eastAsia="Calibri"/>
            <w:noProof/>
          </w:rPr>
          <w:t>3.3</w:t>
        </w:r>
        <w:r>
          <w:rPr>
            <w:rFonts w:eastAsiaTheme="minorEastAsia" w:cstheme="minorBidi"/>
            <w:smallCaps w:val="0"/>
            <w:noProof/>
            <w:kern w:val="2"/>
            <w:sz w:val="24"/>
            <w:szCs w:val="24"/>
            <w:lang w:eastAsia="nl-NL"/>
            <w14:ligatures w14:val="standardContextual"/>
          </w:rPr>
          <w:tab/>
        </w:r>
        <w:r w:rsidRPr="00960F06">
          <w:rPr>
            <w:rStyle w:val="Hyperlink"/>
            <w:rFonts w:eastAsia="Calibri"/>
            <w:noProof/>
          </w:rPr>
          <w:t>Samenwerking op militair gebied (interoperabiliteit)</w:t>
        </w:r>
        <w:r>
          <w:rPr>
            <w:noProof/>
            <w:webHidden/>
          </w:rPr>
          <w:tab/>
        </w:r>
        <w:r>
          <w:rPr>
            <w:noProof/>
            <w:webHidden/>
          </w:rPr>
          <w:fldChar w:fldCharType="begin"/>
        </w:r>
        <w:r>
          <w:rPr>
            <w:noProof/>
            <w:webHidden/>
          </w:rPr>
          <w:instrText xml:space="preserve"> PAGEREF _Toc185491846 \h </w:instrText>
        </w:r>
        <w:r>
          <w:rPr>
            <w:noProof/>
            <w:webHidden/>
          </w:rPr>
        </w:r>
        <w:r>
          <w:rPr>
            <w:noProof/>
            <w:webHidden/>
          </w:rPr>
          <w:fldChar w:fldCharType="separate"/>
        </w:r>
        <w:r>
          <w:rPr>
            <w:noProof/>
            <w:webHidden/>
          </w:rPr>
          <w:t>13</w:t>
        </w:r>
        <w:r>
          <w:rPr>
            <w:noProof/>
            <w:webHidden/>
          </w:rPr>
          <w:fldChar w:fldCharType="end"/>
        </w:r>
      </w:hyperlink>
    </w:p>
    <w:p w14:paraId="59DA7002" w14:textId="5E32D83C"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47" w:history="1">
        <w:r w:rsidRPr="00960F06">
          <w:rPr>
            <w:rStyle w:val="Hyperlink"/>
            <w:rFonts w:eastAsia="Calibri"/>
            <w:noProof/>
          </w:rPr>
          <w:t>3.4</w:t>
        </w:r>
        <w:r>
          <w:rPr>
            <w:rFonts w:eastAsiaTheme="minorEastAsia" w:cstheme="minorBidi"/>
            <w:smallCaps w:val="0"/>
            <w:noProof/>
            <w:kern w:val="2"/>
            <w:sz w:val="24"/>
            <w:szCs w:val="24"/>
            <w:lang w:eastAsia="nl-NL"/>
            <w14:ligatures w14:val="standardContextual"/>
          </w:rPr>
          <w:tab/>
        </w:r>
        <w:r w:rsidRPr="00960F06">
          <w:rPr>
            <w:rStyle w:val="Hyperlink"/>
            <w:rFonts w:eastAsia="Calibri"/>
            <w:noProof/>
          </w:rPr>
          <w:t>Weerhouden van gebruik (inspanningsverplichting)</w:t>
        </w:r>
        <w:r>
          <w:rPr>
            <w:noProof/>
            <w:webHidden/>
          </w:rPr>
          <w:tab/>
        </w:r>
        <w:r>
          <w:rPr>
            <w:noProof/>
            <w:webHidden/>
          </w:rPr>
          <w:fldChar w:fldCharType="begin"/>
        </w:r>
        <w:r>
          <w:rPr>
            <w:noProof/>
            <w:webHidden/>
          </w:rPr>
          <w:instrText xml:space="preserve"> PAGEREF _Toc185491847 \h </w:instrText>
        </w:r>
        <w:r>
          <w:rPr>
            <w:noProof/>
            <w:webHidden/>
          </w:rPr>
        </w:r>
        <w:r>
          <w:rPr>
            <w:noProof/>
            <w:webHidden/>
          </w:rPr>
          <w:fldChar w:fldCharType="separate"/>
        </w:r>
        <w:r>
          <w:rPr>
            <w:noProof/>
            <w:webHidden/>
          </w:rPr>
          <w:t>17</w:t>
        </w:r>
        <w:r>
          <w:rPr>
            <w:noProof/>
            <w:webHidden/>
          </w:rPr>
          <w:fldChar w:fldCharType="end"/>
        </w:r>
      </w:hyperlink>
    </w:p>
    <w:p w14:paraId="2C07DCF0" w14:textId="70F8C468" w:rsidR="00066738" w:rsidRDefault="00066738">
      <w:pPr>
        <w:pStyle w:val="Inhopg3"/>
        <w:tabs>
          <w:tab w:val="left" w:pos="1100"/>
          <w:tab w:val="right" w:leader="dot" w:pos="9062"/>
        </w:tabs>
        <w:rPr>
          <w:rFonts w:eastAsiaTheme="minorEastAsia" w:cstheme="minorBidi"/>
          <w:i w:val="0"/>
          <w:iCs w:val="0"/>
          <w:noProof/>
          <w:kern w:val="2"/>
          <w:sz w:val="24"/>
          <w:szCs w:val="24"/>
          <w:lang w:eastAsia="nl-NL"/>
          <w14:ligatures w14:val="standardContextual"/>
        </w:rPr>
      </w:pPr>
      <w:hyperlink w:anchor="_Toc185491848" w:history="1">
        <w:r w:rsidRPr="00960F06">
          <w:rPr>
            <w:rStyle w:val="Hyperlink"/>
            <w:rFonts w:eastAsia="Calibri"/>
            <w:noProof/>
          </w:rPr>
          <w:t>3.4.1</w:t>
        </w:r>
        <w:r>
          <w:rPr>
            <w:rFonts w:eastAsiaTheme="minorEastAsia" w:cstheme="minorBidi"/>
            <w:i w:val="0"/>
            <w:iCs w:val="0"/>
            <w:noProof/>
            <w:kern w:val="2"/>
            <w:sz w:val="24"/>
            <w:szCs w:val="24"/>
            <w:lang w:eastAsia="nl-NL"/>
            <w14:ligatures w14:val="standardContextual"/>
          </w:rPr>
          <w:tab/>
        </w:r>
        <w:r w:rsidRPr="00960F06">
          <w:rPr>
            <w:rStyle w:val="Hyperlink"/>
            <w:rFonts w:eastAsia="Calibri"/>
            <w:noProof/>
          </w:rPr>
          <w:t>Standpunt Staat</w:t>
        </w:r>
        <w:r>
          <w:rPr>
            <w:noProof/>
            <w:webHidden/>
          </w:rPr>
          <w:tab/>
        </w:r>
        <w:r>
          <w:rPr>
            <w:noProof/>
            <w:webHidden/>
          </w:rPr>
          <w:fldChar w:fldCharType="begin"/>
        </w:r>
        <w:r>
          <w:rPr>
            <w:noProof/>
            <w:webHidden/>
          </w:rPr>
          <w:instrText xml:space="preserve"> PAGEREF _Toc185491848 \h </w:instrText>
        </w:r>
        <w:r>
          <w:rPr>
            <w:noProof/>
            <w:webHidden/>
          </w:rPr>
        </w:r>
        <w:r>
          <w:rPr>
            <w:noProof/>
            <w:webHidden/>
          </w:rPr>
          <w:fldChar w:fldCharType="separate"/>
        </w:r>
        <w:r>
          <w:rPr>
            <w:noProof/>
            <w:webHidden/>
          </w:rPr>
          <w:t>19</w:t>
        </w:r>
        <w:r>
          <w:rPr>
            <w:noProof/>
            <w:webHidden/>
          </w:rPr>
          <w:fldChar w:fldCharType="end"/>
        </w:r>
      </w:hyperlink>
    </w:p>
    <w:p w14:paraId="44B39F5B" w14:textId="0BE72249" w:rsidR="00066738" w:rsidRDefault="00066738">
      <w:pPr>
        <w:pStyle w:val="Inhopg1"/>
        <w:tabs>
          <w:tab w:val="left" w:pos="440"/>
          <w:tab w:val="right" w:leader="dot" w:pos="9062"/>
        </w:tabs>
        <w:rPr>
          <w:rFonts w:eastAsiaTheme="minorEastAsia" w:cstheme="minorBidi"/>
          <w:b w:val="0"/>
          <w:bCs w:val="0"/>
          <w:caps w:val="0"/>
          <w:noProof/>
          <w:kern w:val="2"/>
          <w:sz w:val="24"/>
          <w:szCs w:val="24"/>
          <w:lang w:eastAsia="nl-NL"/>
          <w14:ligatures w14:val="standardContextual"/>
        </w:rPr>
      </w:pPr>
      <w:hyperlink w:anchor="_Toc185491849" w:history="1">
        <w:r w:rsidRPr="00960F06">
          <w:rPr>
            <w:rStyle w:val="Hyperlink"/>
            <w:noProof/>
          </w:rPr>
          <w:t>4</w:t>
        </w:r>
        <w:r>
          <w:rPr>
            <w:rFonts w:eastAsiaTheme="minorEastAsia" w:cstheme="minorBidi"/>
            <w:b w:val="0"/>
            <w:bCs w:val="0"/>
            <w:caps w:val="0"/>
            <w:noProof/>
            <w:kern w:val="2"/>
            <w:sz w:val="24"/>
            <w:szCs w:val="24"/>
            <w:lang w:eastAsia="nl-NL"/>
            <w14:ligatures w14:val="standardContextual"/>
          </w:rPr>
          <w:tab/>
        </w:r>
        <w:r w:rsidRPr="00960F06">
          <w:rPr>
            <w:rStyle w:val="Hyperlink"/>
            <w:noProof/>
          </w:rPr>
          <w:t>Beantwoording vragen 1 t/m 4</w:t>
        </w:r>
        <w:r>
          <w:rPr>
            <w:noProof/>
            <w:webHidden/>
          </w:rPr>
          <w:tab/>
        </w:r>
        <w:r>
          <w:rPr>
            <w:noProof/>
            <w:webHidden/>
          </w:rPr>
          <w:fldChar w:fldCharType="begin"/>
        </w:r>
        <w:r>
          <w:rPr>
            <w:noProof/>
            <w:webHidden/>
          </w:rPr>
          <w:instrText xml:space="preserve"> PAGEREF _Toc185491849 \h </w:instrText>
        </w:r>
        <w:r>
          <w:rPr>
            <w:noProof/>
            <w:webHidden/>
          </w:rPr>
        </w:r>
        <w:r>
          <w:rPr>
            <w:noProof/>
            <w:webHidden/>
          </w:rPr>
          <w:fldChar w:fldCharType="separate"/>
        </w:r>
        <w:r>
          <w:rPr>
            <w:noProof/>
            <w:webHidden/>
          </w:rPr>
          <w:t>20</w:t>
        </w:r>
        <w:r>
          <w:rPr>
            <w:noProof/>
            <w:webHidden/>
          </w:rPr>
          <w:fldChar w:fldCharType="end"/>
        </w:r>
      </w:hyperlink>
    </w:p>
    <w:p w14:paraId="39F53A6E" w14:textId="62F4157F"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50" w:history="1">
        <w:r w:rsidRPr="00960F06">
          <w:rPr>
            <w:rStyle w:val="Hyperlink"/>
            <w:noProof/>
          </w:rPr>
          <w:t>4.1</w:t>
        </w:r>
        <w:r>
          <w:rPr>
            <w:rFonts w:eastAsiaTheme="minorEastAsia" w:cstheme="minorBidi"/>
            <w:smallCaps w:val="0"/>
            <w:noProof/>
            <w:kern w:val="2"/>
            <w:sz w:val="24"/>
            <w:szCs w:val="24"/>
            <w:lang w:eastAsia="nl-NL"/>
            <w14:ligatures w14:val="standardContextual"/>
          </w:rPr>
          <w:tab/>
        </w:r>
        <w:r w:rsidRPr="00960F06">
          <w:rPr>
            <w:rStyle w:val="Hyperlink"/>
            <w:noProof/>
          </w:rPr>
          <w:t>Vraag 1 – Verboden steun</w:t>
        </w:r>
        <w:r>
          <w:rPr>
            <w:noProof/>
            <w:webHidden/>
          </w:rPr>
          <w:tab/>
        </w:r>
        <w:r>
          <w:rPr>
            <w:noProof/>
            <w:webHidden/>
          </w:rPr>
          <w:fldChar w:fldCharType="begin"/>
        </w:r>
        <w:r>
          <w:rPr>
            <w:noProof/>
            <w:webHidden/>
          </w:rPr>
          <w:instrText xml:space="preserve"> PAGEREF _Toc185491850 \h </w:instrText>
        </w:r>
        <w:r>
          <w:rPr>
            <w:noProof/>
            <w:webHidden/>
          </w:rPr>
        </w:r>
        <w:r>
          <w:rPr>
            <w:noProof/>
            <w:webHidden/>
          </w:rPr>
          <w:fldChar w:fldCharType="separate"/>
        </w:r>
        <w:r>
          <w:rPr>
            <w:noProof/>
            <w:webHidden/>
          </w:rPr>
          <w:t>20</w:t>
        </w:r>
        <w:r>
          <w:rPr>
            <w:noProof/>
            <w:webHidden/>
          </w:rPr>
          <w:fldChar w:fldCharType="end"/>
        </w:r>
      </w:hyperlink>
    </w:p>
    <w:p w14:paraId="0FCF55AC" w14:textId="1E8A122A"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51" w:history="1">
        <w:r w:rsidRPr="00960F06">
          <w:rPr>
            <w:rStyle w:val="Hyperlink"/>
            <w:noProof/>
          </w:rPr>
          <w:t>4.2</w:t>
        </w:r>
        <w:r>
          <w:rPr>
            <w:rFonts w:eastAsiaTheme="minorEastAsia" w:cstheme="minorBidi"/>
            <w:smallCaps w:val="0"/>
            <w:noProof/>
            <w:kern w:val="2"/>
            <w:sz w:val="24"/>
            <w:szCs w:val="24"/>
            <w:lang w:eastAsia="nl-NL"/>
            <w14:ligatures w14:val="standardContextual"/>
          </w:rPr>
          <w:tab/>
        </w:r>
        <w:r w:rsidRPr="00960F06">
          <w:rPr>
            <w:rStyle w:val="Hyperlink"/>
            <w:noProof/>
          </w:rPr>
          <w:t>Vraag 2 – Tot het uiterste</w:t>
        </w:r>
        <w:r>
          <w:rPr>
            <w:noProof/>
            <w:webHidden/>
          </w:rPr>
          <w:tab/>
        </w:r>
        <w:r>
          <w:rPr>
            <w:noProof/>
            <w:webHidden/>
          </w:rPr>
          <w:fldChar w:fldCharType="begin"/>
        </w:r>
        <w:r>
          <w:rPr>
            <w:noProof/>
            <w:webHidden/>
          </w:rPr>
          <w:instrText xml:space="preserve"> PAGEREF _Toc185491851 \h </w:instrText>
        </w:r>
        <w:r>
          <w:rPr>
            <w:noProof/>
            <w:webHidden/>
          </w:rPr>
        </w:r>
        <w:r>
          <w:rPr>
            <w:noProof/>
            <w:webHidden/>
          </w:rPr>
          <w:fldChar w:fldCharType="separate"/>
        </w:r>
        <w:r>
          <w:rPr>
            <w:noProof/>
            <w:webHidden/>
          </w:rPr>
          <w:t>20</w:t>
        </w:r>
        <w:r>
          <w:rPr>
            <w:noProof/>
            <w:webHidden/>
          </w:rPr>
          <w:fldChar w:fldCharType="end"/>
        </w:r>
      </w:hyperlink>
    </w:p>
    <w:p w14:paraId="20165472" w14:textId="6771D05D"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52" w:history="1">
        <w:r w:rsidRPr="00960F06">
          <w:rPr>
            <w:rStyle w:val="Hyperlink"/>
            <w:rFonts w:ascii="Calibri" w:eastAsia="Calibri" w:hAnsi="Calibri"/>
            <w:noProof/>
          </w:rPr>
          <w:t>4.3</w:t>
        </w:r>
        <w:r>
          <w:rPr>
            <w:rFonts w:eastAsiaTheme="minorEastAsia" w:cstheme="minorBidi"/>
            <w:smallCaps w:val="0"/>
            <w:noProof/>
            <w:kern w:val="2"/>
            <w:sz w:val="24"/>
            <w:szCs w:val="24"/>
            <w:lang w:eastAsia="nl-NL"/>
            <w14:ligatures w14:val="standardContextual"/>
          </w:rPr>
          <w:tab/>
        </w:r>
        <w:r w:rsidRPr="00960F06">
          <w:rPr>
            <w:rStyle w:val="Hyperlink"/>
            <w:noProof/>
          </w:rPr>
          <w:t>Vraag 3 – Definitie ‘niettegenstaande’</w:t>
        </w:r>
        <w:r>
          <w:rPr>
            <w:noProof/>
            <w:webHidden/>
          </w:rPr>
          <w:tab/>
        </w:r>
        <w:r>
          <w:rPr>
            <w:noProof/>
            <w:webHidden/>
          </w:rPr>
          <w:fldChar w:fldCharType="begin"/>
        </w:r>
        <w:r>
          <w:rPr>
            <w:noProof/>
            <w:webHidden/>
          </w:rPr>
          <w:instrText xml:space="preserve"> PAGEREF _Toc185491852 \h </w:instrText>
        </w:r>
        <w:r>
          <w:rPr>
            <w:noProof/>
            <w:webHidden/>
          </w:rPr>
        </w:r>
        <w:r>
          <w:rPr>
            <w:noProof/>
            <w:webHidden/>
          </w:rPr>
          <w:fldChar w:fldCharType="separate"/>
        </w:r>
        <w:r>
          <w:rPr>
            <w:noProof/>
            <w:webHidden/>
          </w:rPr>
          <w:t>21</w:t>
        </w:r>
        <w:r>
          <w:rPr>
            <w:noProof/>
            <w:webHidden/>
          </w:rPr>
          <w:fldChar w:fldCharType="end"/>
        </w:r>
      </w:hyperlink>
    </w:p>
    <w:p w14:paraId="13B24C4B" w14:textId="4E67B1D6"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53" w:history="1">
        <w:r w:rsidRPr="00960F06">
          <w:rPr>
            <w:rStyle w:val="Hyperlink"/>
            <w:rFonts w:ascii="Calibri" w:eastAsia="Calibri" w:hAnsi="Calibri"/>
            <w:noProof/>
          </w:rPr>
          <w:t>4.4</w:t>
        </w:r>
        <w:r>
          <w:rPr>
            <w:rFonts w:eastAsiaTheme="minorEastAsia" w:cstheme="minorBidi"/>
            <w:smallCaps w:val="0"/>
            <w:noProof/>
            <w:kern w:val="2"/>
            <w:sz w:val="24"/>
            <w:szCs w:val="24"/>
            <w:lang w:eastAsia="nl-NL"/>
            <w14:ligatures w14:val="standardContextual"/>
          </w:rPr>
          <w:tab/>
        </w:r>
        <w:r w:rsidRPr="00960F06">
          <w:rPr>
            <w:rStyle w:val="Hyperlink"/>
            <w:noProof/>
          </w:rPr>
          <w:t>Vraag 4 – Geen voorwaarden mogen stellen</w:t>
        </w:r>
        <w:r>
          <w:rPr>
            <w:noProof/>
            <w:webHidden/>
          </w:rPr>
          <w:tab/>
        </w:r>
        <w:r>
          <w:rPr>
            <w:noProof/>
            <w:webHidden/>
          </w:rPr>
          <w:fldChar w:fldCharType="begin"/>
        </w:r>
        <w:r>
          <w:rPr>
            <w:noProof/>
            <w:webHidden/>
          </w:rPr>
          <w:instrText xml:space="preserve"> PAGEREF _Toc185491853 \h </w:instrText>
        </w:r>
        <w:r>
          <w:rPr>
            <w:noProof/>
            <w:webHidden/>
          </w:rPr>
        </w:r>
        <w:r>
          <w:rPr>
            <w:noProof/>
            <w:webHidden/>
          </w:rPr>
          <w:fldChar w:fldCharType="separate"/>
        </w:r>
        <w:r>
          <w:rPr>
            <w:noProof/>
            <w:webHidden/>
          </w:rPr>
          <w:t>22</w:t>
        </w:r>
        <w:r>
          <w:rPr>
            <w:noProof/>
            <w:webHidden/>
          </w:rPr>
          <w:fldChar w:fldCharType="end"/>
        </w:r>
      </w:hyperlink>
    </w:p>
    <w:p w14:paraId="3A259989" w14:textId="7C278D75" w:rsidR="00066738" w:rsidRDefault="00066738">
      <w:pPr>
        <w:pStyle w:val="Inhopg1"/>
        <w:tabs>
          <w:tab w:val="left" w:pos="440"/>
          <w:tab w:val="right" w:leader="dot" w:pos="9062"/>
        </w:tabs>
        <w:rPr>
          <w:rFonts w:eastAsiaTheme="minorEastAsia" w:cstheme="minorBidi"/>
          <w:b w:val="0"/>
          <w:bCs w:val="0"/>
          <w:caps w:val="0"/>
          <w:noProof/>
          <w:kern w:val="2"/>
          <w:sz w:val="24"/>
          <w:szCs w:val="24"/>
          <w:lang w:eastAsia="nl-NL"/>
          <w14:ligatures w14:val="standardContextual"/>
        </w:rPr>
      </w:pPr>
      <w:hyperlink w:anchor="_Toc185491854" w:history="1">
        <w:r w:rsidRPr="00960F06">
          <w:rPr>
            <w:rStyle w:val="Hyperlink"/>
            <w:rFonts w:eastAsia="Calibri"/>
            <w:noProof/>
          </w:rPr>
          <w:t>5</w:t>
        </w:r>
        <w:r>
          <w:rPr>
            <w:rFonts w:eastAsiaTheme="minorEastAsia" w:cstheme="minorBidi"/>
            <w:b w:val="0"/>
            <w:bCs w:val="0"/>
            <w:caps w:val="0"/>
            <w:noProof/>
            <w:kern w:val="2"/>
            <w:sz w:val="24"/>
            <w:szCs w:val="24"/>
            <w:lang w:eastAsia="nl-NL"/>
            <w14:ligatures w14:val="standardContextual"/>
          </w:rPr>
          <w:tab/>
        </w:r>
        <w:r w:rsidRPr="00960F06">
          <w:rPr>
            <w:rStyle w:val="Hyperlink"/>
            <w:noProof/>
          </w:rPr>
          <w:t>Andere internationaal rechtelijke normen</w:t>
        </w:r>
        <w:r>
          <w:rPr>
            <w:noProof/>
            <w:webHidden/>
          </w:rPr>
          <w:tab/>
        </w:r>
        <w:r>
          <w:rPr>
            <w:noProof/>
            <w:webHidden/>
          </w:rPr>
          <w:fldChar w:fldCharType="begin"/>
        </w:r>
        <w:r>
          <w:rPr>
            <w:noProof/>
            <w:webHidden/>
          </w:rPr>
          <w:instrText xml:space="preserve"> PAGEREF _Toc185491854 \h </w:instrText>
        </w:r>
        <w:r>
          <w:rPr>
            <w:noProof/>
            <w:webHidden/>
          </w:rPr>
        </w:r>
        <w:r>
          <w:rPr>
            <w:noProof/>
            <w:webHidden/>
          </w:rPr>
          <w:fldChar w:fldCharType="separate"/>
        </w:r>
        <w:r>
          <w:rPr>
            <w:noProof/>
            <w:webHidden/>
          </w:rPr>
          <w:t>22</w:t>
        </w:r>
        <w:r>
          <w:rPr>
            <w:noProof/>
            <w:webHidden/>
          </w:rPr>
          <w:fldChar w:fldCharType="end"/>
        </w:r>
      </w:hyperlink>
    </w:p>
    <w:p w14:paraId="4F7FF0C3" w14:textId="2689FCA5"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55" w:history="1">
        <w:r w:rsidRPr="00960F06">
          <w:rPr>
            <w:rStyle w:val="Hyperlink"/>
            <w:noProof/>
          </w:rPr>
          <w:t>5.1</w:t>
        </w:r>
        <w:r>
          <w:rPr>
            <w:rFonts w:eastAsiaTheme="minorEastAsia" w:cstheme="minorBidi"/>
            <w:smallCaps w:val="0"/>
            <w:noProof/>
            <w:kern w:val="2"/>
            <w:sz w:val="24"/>
            <w:szCs w:val="24"/>
            <w:lang w:eastAsia="nl-NL"/>
            <w14:ligatures w14:val="standardContextual"/>
          </w:rPr>
          <w:tab/>
        </w:r>
        <w:r w:rsidRPr="00960F06">
          <w:rPr>
            <w:rStyle w:val="Hyperlink"/>
            <w:noProof/>
          </w:rPr>
          <w:t>Introductie</w:t>
        </w:r>
        <w:r>
          <w:rPr>
            <w:noProof/>
            <w:webHidden/>
          </w:rPr>
          <w:tab/>
        </w:r>
        <w:r>
          <w:rPr>
            <w:noProof/>
            <w:webHidden/>
          </w:rPr>
          <w:fldChar w:fldCharType="begin"/>
        </w:r>
        <w:r>
          <w:rPr>
            <w:noProof/>
            <w:webHidden/>
          </w:rPr>
          <w:instrText xml:space="preserve"> PAGEREF _Toc185491855 \h </w:instrText>
        </w:r>
        <w:r>
          <w:rPr>
            <w:noProof/>
            <w:webHidden/>
          </w:rPr>
        </w:r>
        <w:r>
          <w:rPr>
            <w:noProof/>
            <w:webHidden/>
          </w:rPr>
          <w:fldChar w:fldCharType="separate"/>
        </w:r>
        <w:r>
          <w:rPr>
            <w:noProof/>
            <w:webHidden/>
          </w:rPr>
          <w:t>22</w:t>
        </w:r>
        <w:r>
          <w:rPr>
            <w:noProof/>
            <w:webHidden/>
          </w:rPr>
          <w:fldChar w:fldCharType="end"/>
        </w:r>
      </w:hyperlink>
    </w:p>
    <w:p w14:paraId="7A445A6E" w14:textId="4F0DF37B"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56" w:history="1">
        <w:r w:rsidRPr="00960F06">
          <w:rPr>
            <w:rStyle w:val="Hyperlink"/>
            <w:noProof/>
          </w:rPr>
          <w:t>5.2</w:t>
        </w:r>
        <w:r>
          <w:rPr>
            <w:rFonts w:eastAsiaTheme="minorEastAsia" w:cstheme="minorBidi"/>
            <w:smallCaps w:val="0"/>
            <w:noProof/>
            <w:kern w:val="2"/>
            <w:sz w:val="24"/>
            <w:szCs w:val="24"/>
            <w:lang w:eastAsia="nl-NL"/>
            <w14:ligatures w14:val="standardContextual"/>
          </w:rPr>
          <w:tab/>
        </w:r>
        <w:r w:rsidRPr="00960F06">
          <w:rPr>
            <w:rStyle w:val="Hyperlink"/>
            <w:noProof/>
          </w:rPr>
          <w:t>Artikel 1 Geneefse Conventies</w:t>
        </w:r>
        <w:r>
          <w:rPr>
            <w:noProof/>
            <w:webHidden/>
          </w:rPr>
          <w:tab/>
        </w:r>
        <w:r>
          <w:rPr>
            <w:noProof/>
            <w:webHidden/>
          </w:rPr>
          <w:fldChar w:fldCharType="begin"/>
        </w:r>
        <w:r>
          <w:rPr>
            <w:noProof/>
            <w:webHidden/>
          </w:rPr>
          <w:instrText xml:space="preserve"> PAGEREF _Toc185491856 \h </w:instrText>
        </w:r>
        <w:r>
          <w:rPr>
            <w:noProof/>
            <w:webHidden/>
          </w:rPr>
        </w:r>
        <w:r>
          <w:rPr>
            <w:noProof/>
            <w:webHidden/>
          </w:rPr>
          <w:fldChar w:fldCharType="separate"/>
        </w:r>
        <w:r>
          <w:rPr>
            <w:noProof/>
            <w:webHidden/>
          </w:rPr>
          <w:t>22</w:t>
        </w:r>
        <w:r>
          <w:rPr>
            <w:noProof/>
            <w:webHidden/>
          </w:rPr>
          <w:fldChar w:fldCharType="end"/>
        </w:r>
      </w:hyperlink>
    </w:p>
    <w:p w14:paraId="2B4E15E3" w14:textId="23AAEB05" w:rsidR="00066738" w:rsidRDefault="00066738">
      <w:pPr>
        <w:pStyle w:val="Inhopg3"/>
        <w:tabs>
          <w:tab w:val="left" w:pos="1100"/>
          <w:tab w:val="right" w:leader="dot" w:pos="9062"/>
        </w:tabs>
        <w:rPr>
          <w:rFonts w:eastAsiaTheme="minorEastAsia" w:cstheme="minorBidi"/>
          <w:i w:val="0"/>
          <w:iCs w:val="0"/>
          <w:noProof/>
          <w:kern w:val="2"/>
          <w:sz w:val="24"/>
          <w:szCs w:val="24"/>
          <w:lang w:eastAsia="nl-NL"/>
          <w14:ligatures w14:val="standardContextual"/>
        </w:rPr>
      </w:pPr>
      <w:hyperlink w:anchor="_Toc185491857" w:history="1">
        <w:r w:rsidRPr="00960F06">
          <w:rPr>
            <w:rStyle w:val="Hyperlink"/>
            <w:rFonts w:ascii="Calibri" w:eastAsia="Calibri" w:hAnsi="Calibri"/>
            <w:noProof/>
          </w:rPr>
          <w:t>5.2.1</w:t>
        </w:r>
        <w:r>
          <w:rPr>
            <w:rFonts w:eastAsiaTheme="minorEastAsia" w:cstheme="minorBidi"/>
            <w:i w:val="0"/>
            <w:iCs w:val="0"/>
            <w:noProof/>
            <w:kern w:val="2"/>
            <w:sz w:val="24"/>
            <w:szCs w:val="24"/>
            <w:lang w:eastAsia="nl-NL"/>
            <w14:ligatures w14:val="standardContextual"/>
          </w:rPr>
          <w:tab/>
        </w:r>
        <w:r w:rsidRPr="00960F06">
          <w:rPr>
            <w:rStyle w:val="Hyperlink"/>
            <w:noProof/>
          </w:rPr>
          <w:t>Concrete inhoud van de verplichting van artikel 1 GC</w:t>
        </w:r>
        <w:r>
          <w:rPr>
            <w:noProof/>
            <w:webHidden/>
          </w:rPr>
          <w:tab/>
        </w:r>
        <w:r>
          <w:rPr>
            <w:noProof/>
            <w:webHidden/>
          </w:rPr>
          <w:fldChar w:fldCharType="begin"/>
        </w:r>
        <w:r>
          <w:rPr>
            <w:noProof/>
            <w:webHidden/>
          </w:rPr>
          <w:instrText xml:space="preserve"> PAGEREF _Toc185491857 \h </w:instrText>
        </w:r>
        <w:r>
          <w:rPr>
            <w:noProof/>
            <w:webHidden/>
          </w:rPr>
        </w:r>
        <w:r>
          <w:rPr>
            <w:noProof/>
            <w:webHidden/>
          </w:rPr>
          <w:fldChar w:fldCharType="separate"/>
        </w:r>
        <w:r>
          <w:rPr>
            <w:noProof/>
            <w:webHidden/>
          </w:rPr>
          <w:t>24</w:t>
        </w:r>
        <w:r>
          <w:rPr>
            <w:noProof/>
            <w:webHidden/>
          </w:rPr>
          <w:fldChar w:fldCharType="end"/>
        </w:r>
      </w:hyperlink>
    </w:p>
    <w:p w14:paraId="6DAA7CE7" w14:textId="564F1B7B" w:rsidR="00066738" w:rsidRDefault="00066738">
      <w:pPr>
        <w:pStyle w:val="Inhopg3"/>
        <w:tabs>
          <w:tab w:val="left" w:pos="1100"/>
          <w:tab w:val="right" w:leader="dot" w:pos="9062"/>
        </w:tabs>
        <w:rPr>
          <w:rFonts w:eastAsiaTheme="minorEastAsia" w:cstheme="minorBidi"/>
          <w:i w:val="0"/>
          <w:iCs w:val="0"/>
          <w:noProof/>
          <w:kern w:val="2"/>
          <w:sz w:val="24"/>
          <w:szCs w:val="24"/>
          <w:lang w:eastAsia="nl-NL"/>
          <w14:ligatures w14:val="standardContextual"/>
        </w:rPr>
      </w:pPr>
      <w:hyperlink w:anchor="_Toc185491858" w:history="1">
        <w:r w:rsidRPr="00960F06">
          <w:rPr>
            <w:rStyle w:val="Hyperlink"/>
            <w:rFonts w:ascii="Calibri" w:eastAsia="Calibri" w:hAnsi="Calibri"/>
            <w:noProof/>
          </w:rPr>
          <w:t>5.2.2</w:t>
        </w:r>
        <w:r>
          <w:rPr>
            <w:rFonts w:eastAsiaTheme="minorEastAsia" w:cstheme="minorBidi"/>
            <w:i w:val="0"/>
            <w:iCs w:val="0"/>
            <w:noProof/>
            <w:kern w:val="2"/>
            <w:sz w:val="24"/>
            <w:szCs w:val="24"/>
            <w:lang w:eastAsia="nl-NL"/>
            <w14:ligatures w14:val="standardContextual"/>
          </w:rPr>
          <w:tab/>
        </w:r>
        <w:r w:rsidRPr="00960F06">
          <w:rPr>
            <w:rStyle w:val="Hyperlink"/>
            <w:noProof/>
          </w:rPr>
          <w:t>Positieve verplichtingen</w:t>
        </w:r>
        <w:r>
          <w:rPr>
            <w:noProof/>
            <w:webHidden/>
          </w:rPr>
          <w:tab/>
        </w:r>
        <w:r>
          <w:rPr>
            <w:noProof/>
            <w:webHidden/>
          </w:rPr>
          <w:fldChar w:fldCharType="begin"/>
        </w:r>
        <w:r>
          <w:rPr>
            <w:noProof/>
            <w:webHidden/>
          </w:rPr>
          <w:instrText xml:space="preserve"> PAGEREF _Toc185491858 \h </w:instrText>
        </w:r>
        <w:r>
          <w:rPr>
            <w:noProof/>
            <w:webHidden/>
          </w:rPr>
        </w:r>
        <w:r>
          <w:rPr>
            <w:noProof/>
            <w:webHidden/>
          </w:rPr>
          <w:fldChar w:fldCharType="separate"/>
        </w:r>
        <w:r>
          <w:rPr>
            <w:noProof/>
            <w:webHidden/>
          </w:rPr>
          <w:t>25</w:t>
        </w:r>
        <w:r>
          <w:rPr>
            <w:noProof/>
            <w:webHidden/>
          </w:rPr>
          <w:fldChar w:fldCharType="end"/>
        </w:r>
      </w:hyperlink>
    </w:p>
    <w:p w14:paraId="4086A926" w14:textId="063FFC67" w:rsidR="00066738" w:rsidRDefault="00066738">
      <w:pPr>
        <w:pStyle w:val="Inhopg3"/>
        <w:tabs>
          <w:tab w:val="left" w:pos="1100"/>
          <w:tab w:val="right" w:leader="dot" w:pos="9062"/>
        </w:tabs>
        <w:rPr>
          <w:rFonts w:eastAsiaTheme="minorEastAsia" w:cstheme="minorBidi"/>
          <w:i w:val="0"/>
          <w:iCs w:val="0"/>
          <w:noProof/>
          <w:kern w:val="2"/>
          <w:sz w:val="24"/>
          <w:szCs w:val="24"/>
          <w:lang w:eastAsia="nl-NL"/>
          <w14:ligatures w14:val="standardContextual"/>
        </w:rPr>
      </w:pPr>
      <w:hyperlink w:anchor="_Toc185491859" w:history="1">
        <w:r w:rsidRPr="00960F06">
          <w:rPr>
            <w:rStyle w:val="Hyperlink"/>
            <w:noProof/>
          </w:rPr>
          <w:t>5.2.3</w:t>
        </w:r>
        <w:r>
          <w:rPr>
            <w:rFonts w:eastAsiaTheme="minorEastAsia" w:cstheme="minorBidi"/>
            <w:i w:val="0"/>
            <w:iCs w:val="0"/>
            <w:noProof/>
            <w:kern w:val="2"/>
            <w:sz w:val="24"/>
            <w:szCs w:val="24"/>
            <w:lang w:eastAsia="nl-NL"/>
            <w14:ligatures w14:val="standardContextual"/>
          </w:rPr>
          <w:tab/>
        </w:r>
        <w:r w:rsidRPr="00960F06">
          <w:rPr>
            <w:rStyle w:val="Hyperlink"/>
            <w:noProof/>
          </w:rPr>
          <w:t>Verbod op wapens die geen onderscheid maken tussen civiele en militaire doelen</w:t>
        </w:r>
        <w:r>
          <w:rPr>
            <w:noProof/>
            <w:webHidden/>
          </w:rPr>
          <w:tab/>
        </w:r>
        <w:r>
          <w:rPr>
            <w:noProof/>
            <w:webHidden/>
          </w:rPr>
          <w:fldChar w:fldCharType="begin"/>
        </w:r>
        <w:r>
          <w:rPr>
            <w:noProof/>
            <w:webHidden/>
          </w:rPr>
          <w:instrText xml:space="preserve"> PAGEREF _Toc185491859 \h </w:instrText>
        </w:r>
        <w:r>
          <w:rPr>
            <w:noProof/>
            <w:webHidden/>
          </w:rPr>
        </w:r>
        <w:r>
          <w:rPr>
            <w:noProof/>
            <w:webHidden/>
          </w:rPr>
          <w:fldChar w:fldCharType="separate"/>
        </w:r>
        <w:r>
          <w:rPr>
            <w:noProof/>
            <w:webHidden/>
          </w:rPr>
          <w:t>26</w:t>
        </w:r>
        <w:r>
          <w:rPr>
            <w:noProof/>
            <w:webHidden/>
          </w:rPr>
          <w:fldChar w:fldCharType="end"/>
        </w:r>
      </w:hyperlink>
    </w:p>
    <w:p w14:paraId="0913DAC5" w14:textId="1987012F" w:rsidR="00066738" w:rsidRDefault="00066738">
      <w:pPr>
        <w:pStyle w:val="Inhopg2"/>
        <w:tabs>
          <w:tab w:val="left" w:pos="880"/>
          <w:tab w:val="right" w:leader="dot" w:pos="9062"/>
        </w:tabs>
        <w:rPr>
          <w:rFonts w:eastAsiaTheme="minorEastAsia" w:cstheme="minorBidi"/>
          <w:smallCaps w:val="0"/>
          <w:noProof/>
          <w:kern w:val="2"/>
          <w:sz w:val="24"/>
          <w:szCs w:val="24"/>
          <w:lang w:eastAsia="nl-NL"/>
          <w14:ligatures w14:val="standardContextual"/>
        </w:rPr>
      </w:pPr>
      <w:hyperlink w:anchor="_Toc185491860" w:history="1">
        <w:r w:rsidRPr="00960F06">
          <w:rPr>
            <w:rStyle w:val="Hyperlink"/>
            <w:noProof/>
          </w:rPr>
          <w:t>5.3</w:t>
        </w:r>
        <w:r>
          <w:rPr>
            <w:rFonts w:eastAsiaTheme="minorEastAsia" w:cstheme="minorBidi"/>
            <w:smallCaps w:val="0"/>
            <w:noProof/>
            <w:kern w:val="2"/>
            <w:sz w:val="24"/>
            <w:szCs w:val="24"/>
            <w:lang w:eastAsia="nl-NL"/>
            <w14:ligatures w14:val="standardContextual"/>
          </w:rPr>
          <w:tab/>
        </w:r>
        <w:r w:rsidRPr="00960F06">
          <w:rPr>
            <w:rStyle w:val="Hyperlink"/>
            <w:noProof/>
          </w:rPr>
          <w:t>Wapenhandelsverdrag</w:t>
        </w:r>
        <w:r>
          <w:rPr>
            <w:noProof/>
            <w:webHidden/>
          </w:rPr>
          <w:tab/>
        </w:r>
        <w:r>
          <w:rPr>
            <w:noProof/>
            <w:webHidden/>
          </w:rPr>
          <w:fldChar w:fldCharType="begin"/>
        </w:r>
        <w:r>
          <w:rPr>
            <w:noProof/>
            <w:webHidden/>
          </w:rPr>
          <w:instrText xml:space="preserve"> PAGEREF _Toc185491860 \h </w:instrText>
        </w:r>
        <w:r>
          <w:rPr>
            <w:noProof/>
            <w:webHidden/>
          </w:rPr>
        </w:r>
        <w:r>
          <w:rPr>
            <w:noProof/>
            <w:webHidden/>
          </w:rPr>
          <w:fldChar w:fldCharType="separate"/>
        </w:r>
        <w:r>
          <w:rPr>
            <w:noProof/>
            <w:webHidden/>
          </w:rPr>
          <w:t>27</w:t>
        </w:r>
        <w:r>
          <w:rPr>
            <w:noProof/>
            <w:webHidden/>
          </w:rPr>
          <w:fldChar w:fldCharType="end"/>
        </w:r>
      </w:hyperlink>
    </w:p>
    <w:p w14:paraId="59BC6160" w14:textId="33CBDA20" w:rsidR="00066738" w:rsidRDefault="00066738">
      <w:pPr>
        <w:pStyle w:val="Inhopg1"/>
        <w:tabs>
          <w:tab w:val="left" w:pos="440"/>
          <w:tab w:val="right" w:leader="dot" w:pos="9062"/>
        </w:tabs>
        <w:rPr>
          <w:rFonts w:eastAsiaTheme="minorEastAsia" w:cstheme="minorBidi"/>
          <w:b w:val="0"/>
          <w:bCs w:val="0"/>
          <w:caps w:val="0"/>
          <w:noProof/>
          <w:kern w:val="2"/>
          <w:sz w:val="24"/>
          <w:szCs w:val="24"/>
          <w:lang w:eastAsia="nl-NL"/>
          <w14:ligatures w14:val="standardContextual"/>
        </w:rPr>
      </w:pPr>
      <w:hyperlink w:anchor="_Toc185491861" w:history="1">
        <w:r w:rsidRPr="00960F06">
          <w:rPr>
            <w:rStyle w:val="Hyperlink"/>
            <w:rFonts w:ascii="Calibri" w:eastAsia="Calibri" w:hAnsi="Calibri" w:cs="Calibri"/>
            <w:noProof/>
          </w:rPr>
          <w:t>6</w:t>
        </w:r>
        <w:r>
          <w:rPr>
            <w:rFonts w:eastAsiaTheme="minorEastAsia" w:cstheme="minorBidi"/>
            <w:b w:val="0"/>
            <w:bCs w:val="0"/>
            <w:caps w:val="0"/>
            <w:noProof/>
            <w:kern w:val="2"/>
            <w:sz w:val="24"/>
            <w:szCs w:val="24"/>
            <w:lang w:eastAsia="nl-NL"/>
            <w14:ligatures w14:val="standardContextual"/>
          </w:rPr>
          <w:tab/>
        </w:r>
        <w:r w:rsidRPr="00960F06">
          <w:rPr>
            <w:rStyle w:val="Hyperlink"/>
            <w:noProof/>
          </w:rPr>
          <w:t>Beantwoording vraag 5 – Andere internationaal rechtelijke normen</w:t>
        </w:r>
        <w:r>
          <w:rPr>
            <w:noProof/>
            <w:webHidden/>
          </w:rPr>
          <w:tab/>
        </w:r>
        <w:r>
          <w:rPr>
            <w:noProof/>
            <w:webHidden/>
          </w:rPr>
          <w:fldChar w:fldCharType="begin"/>
        </w:r>
        <w:r>
          <w:rPr>
            <w:noProof/>
            <w:webHidden/>
          </w:rPr>
          <w:instrText xml:space="preserve"> PAGEREF _Toc185491861 \h </w:instrText>
        </w:r>
        <w:r>
          <w:rPr>
            <w:noProof/>
            <w:webHidden/>
          </w:rPr>
        </w:r>
        <w:r>
          <w:rPr>
            <w:noProof/>
            <w:webHidden/>
          </w:rPr>
          <w:fldChar w:fldCharType="separate"/>
        </w:r>
        <w:r>
          <w:rPr>
            <w:noProof/>
            <w:webHidden/>
          </w:rPr>
          <w:t>29</w:t>
        </w:r>
        <w:r>
          <w:rPr>
            <w:noProof/>
            <w:webHidden/>
          </w:rPr>
          <w:fldChar w:fldCharType="end"/>
        </w:r>
      </w:hyperlink>
    </w:p>
    <w:p w14:paraId="16D110D6" w14:textId="2AF0875A" w:rsidR="00BB0F52" w:rsidRDefault="00BB0F52" w:rsidP="00724FEF">
      <w:pPr>
        <w:jc w:val="both"/>
        <w:rPr>
          <w:rFonts w:eastAsiaTheme="majorEastAsia"/>
          <w:b/>
        </w:rPr>
      </w:pPr>
      <w:r>
        <w:fldChar w:fldCharType="end"/>
      </w:r>
      <w:r>
        <w:br w:type="page"/>
      </w:r>
    </w:p>
    <w:p w14:paraId="080518A6" w14:textId="69F74FA5" w:rsidR="006B42BB" w:rsidRPr="00494E8D" w:rsidRDefault="00B67072" w:rsidP="00724FEF">
      <w:pPr>
        <w:pStyle w:val="Kop1"/>
        <w:jc w:val="both"/>
      </w:pPr>
      <w:bookmarkStart w:id="0" w:name="_Toc185491835"/>
      <w:r>
        <w:lastRenderedPageBreak/>
        <w:t>Introductie</w:t>
      </w:r>
      <w:bookmarkEnd w:id="0"/>
      <w:r>
        <w:t xml:space="preserve"> </w:t>
      </w:r>
    </w:p>
    <w:p w14:paraId="4A44AD92" w14:textId="435E217B" w:rsidR="32442647" w:rsidRPr="00494E8D" w:rsidRDefault="0F81885E" w:rsidP="00724FEF">
      <w:pPr>
        <w:jc w:val="both"/>
      </w:pPr>
      <w:r w:rsidRPr="00494E8D">
        <w:t>D</w:t>
      </w:r>
      <w:r w:rsidR="00C92AF8">
        <w:t>it</w:t>
      </w:r>
      <w:r w:rsidRPr="00494E8D">
        <w:t xml:space="preserve"> memo formuleert een antwoord op de vragen van de Partij voor de Dieren in relatie tot de levering van Nederlandse wapensystemen aan Oekraïne</w:t>
      </w:r>
      <w:r w:rsidR="00DC4E07">
        <w:t xml:space="preserve"> </w:t>
      </w:r>
      <w:r w:rsidRPr="00494E8D">
        <w:t xml:space="preserve">zonder hieraan de voorwaarde te stellen dat deze niet gebruikt mogen worden voor het gebruik van </w:t>
      </w:r>
      <w:r w:rsidR="34541A3B" w:rsidRPr="00494E8D">
        <w:t>clustermunitie.</w:t>
      </w:r>
      <w:r w:rsidR="1517CC23" w:rsidRPr="00494E8D">
        <w:t xml:space="preserve"> De vragen luiden als volgt:</w:t>
      </w:r>
    </w:p>
    <w:p w14:paraId="45B74C93" w14:textId="2095FE19" w:rsidR="186EF10A" w:rsidRPr="00494E8D" w:rsidRDefault="1173BFC9" w:rsidP="00724FEF">
      <w:pPr>
        <w:pStyle w:val="Lijstalinea"/>
        <w:numPr>
          <w:ilvl w:val="0"/>
          <w:numId w:val="1"/>
        </w:numPr>
        <w:jc w:val="both"/>
      </w:pPr>
      <w:r w:rsidRPr="00494E8D">
        <w:t>Als Nederland militaire of financiële middelen die kunnen worden ingezet voor het gebruik van clustermunitie ter beschikking stelt aan Oekraïne zonder daaraan de voorwaarde te verbinden dat die middelen niet voor het gebruik van clustermunitie mogen worden aangewend, kan dan worden gesteld dat Nederland door het niet stellen van die voorwaarde een ingevolge artikel 1 van het Verdrag inzake clustermunitie verboden steun aan Oekraïne verleent?</w:t>
      </w:r>
    </w:p>
    <w:p w14:paraId="7B3CA362" w14:textId="5ABFF861" w:rsidR="186EF10A" w:rsidRPr="00494E8D" w:rsidRDefault="1173BFC9" w:rsidP="00724FEF">
      <w:pPr>
        <w:pStyle w:val="Lijstalinea"/>
        <w:numPr>
          <w:ilvl w:val="0"/>
          <w:numId w:val="1"/>
        </w:numPr>
        <w:jc w:val="both"/>
      </w:pPr>
      <w:r w:rsidRPr="00494E8D">
        <w:t>Brengt de verplichting die uit artikel 21, tweede lid voortvloeit om zich “tot het uiterste in te spannen” om Oekraïne te weerhouden van het gebruik van clustermunitie mede dat Nederland, als zij militaire of financiële middelen die kunnen worden ingezet voor het gebruik van clustermunitie ter beschikking stelt aan Oekraïne, daaraan de voorwaarde dient te verbinden dat die middelen niet voor het gebruik van clustermunitie mogen worden aangewend?</w:t>
      </w:r>
    </w:p>
    <w:p w14:paraId="337598C2" w14:textId="60AFB1AF" w:rsidR="186EF10A" w:rsidRPr="00494E8D" w:rsidRDefault="1173BFC9" w:rsidP="00724FEF">
      <w:pPr>
        <w:pStyle w:val="Lijstalinea"/>
        <w:numPr>
          <w:ilvl w:val="0"/>
          <w:numId w:val="1"/>
        </w:numPr>
        <w:jc w:val="both"/>
      </w:pPr>
      <w:r w:rsidRPr="00494E8D">
        <w:t>Wat betekent de term ‘niettegenstaande’ in het derde lid van artikel 21?</w:t>
      </w:r>
    </w:p>
    <w:p w14:paraId="1FEE5FE2" w14:textId="37C8E42D" w:rsidR="186EF10A" w:rsidRPr="00494E8D" w:rsidRDefault="1173BFC9" w:rsidP="00724FEF">
      <w:pPr>
        <w:pStyle w:val="Lijstalinea"/>
        <w:numPr>
          <w:ilvl w:val="0"/>
          <w:numId w:val="1"/>
        </w:numPr>
        <w:jc w:val="both"/>
      </w:pPr>
      <w:r w:rsidRPr="00494E8D">
        <w:t>Impliceert het recht dat Nederland aan artikel 21, derde lid ontleent om met Oekraïne militair samen te werken, dat Nederland, als zij militaire of financiële middelen die kunnen worden ingezet voor het gebruik van clustermunitie ter beschikking stelt aan Oekraïne, daaraan niet de voorwaarde mag verbinden dat die middelen niet voor het gebruik van clustermunitie mogen worden aangewend?</w:t>
      </w:r>
    </w:p>
    <w:p w14:paraId="7BF9FEFE" w14:textId="40C37F8B" w:rsidR="0D6F2373" w:rsidRPr="00494E8D" w:rsidRDefault="1173BFC9" w:rsidP="00724FEF">
      <w:pPr>
        <w:pStyle w:val="Lijstalinea"/>
        <w:numPr>
          <w:ilvl w:val="0"/>
          <w:numId w:val="1"/>
        </w:numPr>
        <w:jc w:val="both"/>
      </w:pPr>
      <w:r w:rsidRPr="00494E8D">
        <w:t>Zijn er andere internationaalrechtelijke voorschriften dan die welke vervat zijn in het Verdrag inzake clustermunitie die Nederland verbieden om Oekraïne direct of indirect te steunen wat betreft het gebruik van clustermunitie of haar verplichten om uitsluitend militaire of financiële middelen ter beschikking te stellen onder de voorwaarde dat die niet voor het gebruik van clustermunitie mogen worden aangewend?</w:t>
      </w:r>
    </w:p>
    <w:p w14:paraId="0DD3BECA" w14:textId="608A91BB" w:rsidR="004F4B11" w:rsidRDefault="004F4B11" w:rsidP="00724FEF">
      <w:pPr>
        <w:jc w:val="both"/>
      </w:pPr>
      <w:r>
        <w:t xml:space="preserve">Dit advies </w:t>
      </w:r>
      <w:r w:rsidR="00DC4E07">
        <w:t xml:space="preserve">ziet </w:t>
      </w:r>
      <w:r w:rsidR="00995317">
        <w:t xml:space="preserve">op </w:t>
      </w:r>
      <w:r w:rsidR="00B772BF">
        <w:t xml:space="preserve">de steun van Nederland aan </w:t>
      </w:r>
      <w:r w:rsidR="00EE720E">
        <w:t>Oekraïne</w:t>
      </w:r>
      <w:r w:rsidR="00B772BF">
        <w:t xml:space="preserve"> </w:t>
      </w:r>
      <w:r w:rsidR="00995317">
        <w:t xml:space="preserve">en het handelen van Oekraïne. Het handelen van Rusland </w:t>
      </w:r>
      <w:r w:rsidR="00B175FB">
        <w:t>in de</w:t>
      </w:r>
      <w:r w:rsidR="005B7133">
        <w:t>ze</w:t>
      </w:r>
      <w:r w:rsidR="00B175FB">
        <w:t xml:space="preserve"> oorlog valt buiten het bestek van dit advies</w:t>
      </w:r>
      <w:r w:rsidR="00995317">
        <w:t xml:space="preserve">.  </w:t>
      </w:r>
    </w:p>
    <w:p w14:paraId="588BFE80" w14:textId="57156016" w:rsidR="00B24A45" w:rsidRDefault="005B7133" w:rsidP="00724FEF">
      <w:pPr>
        <w:jc w:val="both"/>
      </w:pPr>
      <w:r>
        <w:t xml:space="preserve">Hieronder volgt in de </w:t>
      </w:r>
      <w:r w:rsidR="00066738">
        <w:t xml:space="preserve">samenvatting </w:t>
      </w:r>
      <w:r>
        <w:t xml:space="preserve">een beknopte weergave van de antwoorden. </w:t>
      </w:r>
      <w:r w:rsidR="00CD26E7">
        <w:t xml:space="preserve">In hoofdstuk 2 volgt een overzicht van een aantal relevante feiten voor de beantwoording van de vragen. </w:t>
      </w:r>
      <w:r w:rsidR="00A17818">
        <w:t xml:space="preserve">Na een korte uiteenzetting </w:t>
      </w:r>
      <w:r w:rsidR="00366FAF">
        <w:t>van</w:t>
      </w:r>
      <w:r w:rsidR="00A17818">
        <w:t xml:space="preserve"> het Verdrag inzake Clustermunitie (</w:t>
      </w:r>
      <w:r w:rsidR="00D87563">
        <w:t>hierna ook “</w:t>
      </w:r>
      <w:r w:rsidR="00A17818" w:rsidRPr="00D87563">
        <w:rPr>
          <w:b/>
          <w:bCs/>
        </w:rPr>
        <w:t>CCM</w:t>
      </w:r>
      <w:r w:rsidR="00D87563">
        <w:t>”</w:t>
      </w:r>
      <w:r w:rsidR="00A17818">
        <w:t xml:space="preserve">) </w:t>
      </w:r>
      <w:r w:rsidR="00C606CC">
        <w:t xml:space="preserve">(hoofdstuk 3) </w:t>
      </w:r>
      <w:r w:rsidR="18BA43D6" w:rsidRPr="00494E8D">
        <w:t xml:space="preserve">worden </w:t>
      </w:r>
      <w:r w:rsidR="00A17818">
        <w:t>de vragen</w:t>
      </w:r>
      <w:r w:rsidR="00474BEB">
        <w:t xml:space="preserve"> 1 tot en met 4</w:t>
      </w:r>
      <w:r w:rsidR="00A17818">
        <w:t xml:space="preserve"> </w:t>
      </w:r>
      <w:r w:rsidR="00474BEB">
        <w:t>beantwoord</w:t>
      </w:r>
      <w:r w:rsidR="00C606CC">
        <w:t xml:space="preserve"> (hoofdstuk 4)</w:t>
      </w:r>
      <w:r w:rsidR="18BA43D6" w:rsidRPr="00494E8D">
        <w:t xml:space="preserve">. </w:t>
      </w:r>
      <w:r w:rsidR="00C606CC">
        <w:t>In hoofdstuk 5 volgt een kort</w:t>
      </w:r>
      <w:r w:rsidR="00366FAF">
        <w:t>e</w:t>
      </w:r>
      <w:r w:rsidR="00C606CC">
        <w:t xml:space="preserve"> toelichting op andere internationaalrechtelijke normen die relevant zijn en v</w:t>
      </w:r>
      <w:r w:rsidR="00C927C0">
        <w:t>ervolgens word</w:t>
      </w:r>
      <w:r w:rsidR="00A50477">
        <w:t>t vraag</w:t>
      </w:r>
      <w:r w:rsidR="00C927C0">
        <w:t xml:space="preserve"> 5 be</w:t>
      </w:r>
      <w:r w:rsidR="00C606CC">
        <w:t xml:space="preserve">antwoord (hoofdstuk </w:t>
      </w:r>
      <w:r w:rsidR="007C0955">
        <w:t xml:space="preserve">6). </w:t>
      </w:r>
    </w:p>
    <w:p w14:paraId="5CF844BA" w14:textId="77777777" w:rsidR="00CD26E7" w:rsidRPr="00494E8D" w:rsidRDefault="00CD26E7" w:rsidP="00724FEF">
      <w:pPr>
        <w:jc w:val="both"/>
      </w:pPr>
    </w:p>
    <w:p w14:paraId="1F9D971E" w14:textId="0A4C5E72" w:rsidR="00724FEF" w:rsidRPr="00724FEF" w:rsidRDefault="00066738" w:rsidP="00724FEF">
      <w:pPr>
        <w:pStyle w:val="Kop2"/>
        <w:jc w:val="both"/>
      </w:pPr>
      <w:bookmarkStart w:id="1" w:name="_Toc185491836"/>
      <w:r>
        <w:t>Samenvatting</w:t>
      </w:r>
      <w:bookmarkEnd w:id="1"/>
      <w:r>
        <w:t xml:space="preserve"> </w:t>
      </w:r>
    </w:p>
    <w:p w14:paraId="5AD6C482" w14:textId="4533A76B" w:rsidR="00724FEF" w:rsidRDefault="00724FEF" w:rsidP="00724FEF">
      <w:pPr>
        <w:pStyle w:val="Tekst"/>
        <w:numPr>
          <w:ilvl w:val="0"/>
          <w:numId w:val="0"/>
        </w:numPr>
        <w:jc w:val="both"/>
      </w:pPr>
      <w:r>
        <w:t xml:space="preserve">Het antwoord op de </w:t>
      </w:r>
      <w:r w:rsidRPr="008E0CDB">
        <w:rPr>
          <w:u w:val="single"/>
        </w:rPr>
        <w:t>eerste vraag</w:t>
      </w:r>
      <w:r>
        <w:t xml:space="preserve"> luidt </w:t>
      </w:r>
      <w:r w:rsidR="005F47EE">
        <w:t>positief</w:t>
      </w:r>
      <w:r>
        <w:t xml:space="preserve">. Goed betoogd kan immers worden dat Nederland </w:t>
      </w:r>
      <w:r w:rsidR="00CA7A8C">
        <w:t xml:space="preserve">in strijd met zijn resultaatsverplichting van artikel 1 lid 1 sub c CCM heeft gehandeld </w:t>
      </w:r>
      <w:r>
        <w:t>door</w:t>
      </w:r>
      <w:r w:rsidR="00CA7A8C">
        <w:t>:</w:t>
      </w:r>
      <w:r>
        <w:t xml:space="preserve"> </w:t>
      </w:r>
      <w:r w:rsidR="00CA7A8C">
        <w:t xml:space="preserve">(i) </w:t>
      </w:r>
      <w:r>
        <w:t xml:space="preserve">het doneren van F-16’s aan Oekraïne, </w:t>
      </w:r>
      <w:r w:rsidR="00CA7A8C">
        <w:t xml:space="preserve">(ii) </w:t>
      </w:r>
      <w:r>
        <w:t xml:space="preserve">met </w:t>
      </w:r>
      <w:r w:rsidR="00CA7A8C">
        <w:t xml:space="preserve">de </w:t>
      </w:r>
      <w:r>
        <w:t xml:space="preserve">wetenschap dat Oekraïne over clustermunitie beschikt, </w:t>
      </w:r>
      <w:r w:rsidR="00CA7A8C">
        <w:t xml:space="preserve">(iii) </w:t>
      </w:r>
      <w:r w:rsidR="00F61B1D">
        <w:t xml:space="preserve">terwijl </w:t>
      </w:r>
      <w:r w:rsidR="0083733B">
        <w:t xml:space="preserve">Oekraïne </w:t>
      </w:r>
      <w:r>
        <w:t xml:space="preserve">deze </w:t>
      </w:r>
      <w:r w:rsidR="0083733B">
        <w:t xml:space="preserve">munitie </w:t>
      </w:r>
      <w:r>
        <w:t xml:space="preserve">wil gebruiken, </w:t>
      </w:r>
      <w:r w:rsidR="00F61B1D">
        <w:t xml:space="preserve">en </w:t>
      </w:r>
      <w:r>
        <w:t>h</w:t>
      </w:r>
      <w:r w:rsidR="002D5462">
        <w:t>éé</w:t>
      </w:r>
      <w:r>
        <w:t xml:space="preserve">ft gebruikt met burgerslachtoffers tot gevolg en zeer waarschijnlijk in strijd met het internationaal humanitair recht, en </w:t>
      </w:r>
      <w:r w:rsidR="002D5462">
        <w:t xml:space="preserve">(iv) </w:t>
      </w:r>
      <w:r w:rsidR="00A559D0">
        <w:t xml:space="preserve">wetende </w:t>
      </w:r>
      <w:r>
        <w:t>dat de F-16’s geschikt zijn om clustermunitie mee af te werpen en</w:t>
      </w:r>
      <w:r w:rsidR="00EC0AC5">
        <w:t xml:space="preserve"> </w:t>
      </w:r>
      <w:r w:rsidR="00A559D0">
        <w:t xml:space="preserve">door </w:t>
      </w:r>
      <w:r w:rsidR="00EC0AC5">
        <w:t xml:space="preserve">(v) uitsluitend de voorwaarde te stellen dat de F-16’s in lijn met internationaal recht worden ingezet, </w:t>
      </w:r>
      <w:r w:rsidR="00E63EB5">
        <w:t xml:space="preserve">en </w:t>
      </w:r>
      <w:r w:rsidR="00EC0AC5">
        <w:t xml:space="preserve">niet </w:t>
      </w:r>
      <w:r w:rsidR="00A559D0">
        <w:t xml:space="preserve">de voorwaarde </w:t>
      </w:r>
      <w:r w:rsidR="00EC0AC5">
        <w:t xml:space="preserve">dat ze </w:t>
      </w:r>
      <w:r w:rsidR="00EC0AC5" w:rsidRPr="00494E8D">
        <w:t>niet mogen worden aangewend</w:t>
      </w:r>
      <w:r w:rsidR="00E63EB5">
        <w:t xml:space="preserve"> </w:t>
      </w:r>
      <w:r w:rsidR="00E63EB5" w:rsidRPr="00494E8D">
        <w:t>voor het gebruik van clustermunitie</w:t>
      </w:r>
      <w:r>
        <w:t xml:space="preserve">. </w:t>
      </w:r>
    </w:p>
    <w:p w14:paraId="7C3D9653" w14:textId="1A92E524" w:rsidR="00724FEF" w:rsidRDefault="00B71960" w:rsidP="00724FEF">
      <w:pPr>
        <w:pStyle w:val="Tekst"/>
        <w:numPr>
          <w:ilvl w:val="0"/>
          <w:numId w:val="0"/>
        </w:numPr>
        <w:jc w:val="both"/>
      </w:pPr>
      <w:r>
        <w:rPr>
          <w:rFonts w:ascii="Calibri" w:eastAsia="Calibri" w:hAnsi="Calibri" w:cs="Calibri"/>
        </w:rPr>
        <w:lastRenderedPageBreak/>
        <w:t>Het antwoord op de</w:t>
      </w:r>
      <w:r w:rsidR="00724FEF">
        <w:rPr>
          <w:rFonts w:ascii="Calibri" w:eastAsia="Calibri" w:hAnsi="Calibri" w:cs="Calibri"/>
        </w:rPr>
        <w:t xml:space="preserve"> </w:t>
      </w:r>
      <w:r w:rsidR="00724FEF" w:rsidRPr="008E0CDB">
        <w:rPr>
          <w:rFonts w:ascii="Calibri" w:eastAsia="Calibri" w:hAnsi="Calibri" w:cs="Calibri"/>
          <w:u w:val="single"/>
        </w:rPr>
        <w:t>tweede vraag</w:t>
      </w:r>
      <w:r w:rsidR="00724FEF">
        <w:rPr>
          <w:rFonts w:ascii="Calibri" w:eastAsia="Calibri" w:hAnsi="Calibri" w:cs="Calibri"/>
        </w:rPr>
        <w:t xml:space="preserve"> </w:t>
      </w:r>
      <w:r>
        <w:rPr>
          <w:rFonts w:ascii="Calibri" w:eastAsia="Calibri" w:hAnsi="Calibri" w:cs="Calibri"/>
        </w:rPr>
        <w:t xml:space="preserve">luidt daarmee eveneens </w:t>
      </w:r>
      <w:r w:rsidR="00195F36">
        <w:rPr>
          <w:rFonts w:ascii="Calibri" w:eastAsia="Calibri" w:hAnsi="Calibri" w:cs="Calibri"/>
        </w:rPr>
        <w:t>positief</w:t>
      </w:r>
      <w:r>
        <w:rPr>
          <w:rFonts w:ascii="Calibri" w:eastAsia="Calibri" w:hAnsi="Calibri" w:cs="Calibri"/>
        </w:rPr>
        <w:t>.</w:t>
      </w:r>
      <w:r w:rsidR="00724FEF">
        <w:rPr>
          <w:rFonts w:ascii="Calibri" w:eastAsia="Calibri" w:hAnsi="Calibri" w:cs="Calibri"/>
        </w:rPr>
        <w:t xml:space="preserve"> De Staat kan zelfstandig voorwaarden verbinden aan het gebruik van de steun die het verleend. Dit heeft de Staat ook gedaan door te verplichten dat de F-16’s in lijn met het internationaal recht moet worden gebruikt door Oekraïne. Het nalaten om een voorwaarde te verbinden aan gebruik van de F-16’s die het mogelijk maakt dat ze gebruikt worden om clustermunitie af te werpen (hetgeen voor de Staat zelf verboden is onder de CCM) maakt </w:t>
      </w:r>
      <w:r w:rsidR="000E4F6D">
        <w:rPr>
          <w:rFonts w:ascii="Calibri" w:eastAsia="Calibri" w:hAnsi="Calibri" w:cs="Calibri"/>
        </w:rPr>
        <w:t xml:space="preserve">dat </w:t>
      </w:r>
      <w:r w:rsidR="00724FEF">
        <w:rPr>
          <w:rFonts w:ascii="Calibri" w:eastAsia="Calibri" w:hAnsi="Calibri" w:cs="Calibri"/>
        </w:rPr>
        <w:t xml:space="preserve">de Staat zich niet tot het uiterste heeft ingespannen om Oekraïne ervan te weerhouden het </w:t>
      </w:r>
      <w:r w:rsidR="000E4F6D">
        <w:rPr>
          <w:rFonts w:ascii="Calibri" w:eastAsia="Calibri" w:hAnsi="Calibri" w:cs="Calibri"/>
        </w:rPr>
        <w:t xml:space="preserve">materieel </w:t>
      </w:r>
      <w:r w:rsidR="00724FEF">
        <w:rPr>
          <w:rFonts w:ascii="Calibri" w:eastAsia="Calibri" w:hAnsi="Calibri" w:cs="Calibri"/>
        </w:rPr>
        <w:t xml:space="preserve">voor clustermunitie te gebruiken. Nergens blijkt </w:t>
      </w:r>
      <w:r w:rsidR="00FF5357">
        <w:rPr>
          <w:rFonts w:ascii="Calibri" w:eastAsia="Calibri" w:hAnsi="Calibri" w:cs="Calibri"/>
        </w:rPr>
        <w:t xml:space="preserve">uit </w:t>
      </w:r>
      <w:r w:rsidR="00724FEF">
        <w:rPr>
          <w:rFonts w:ascii="Calibri" w:eastAsia="Calibri" w:hAnsi="Calibri" w:cs="Calibri"/>
        </w:rPr>
        <w:t>dat de Staat deze voorwaarde niet heeft kunnen stellen of dat dit niet gevergd kan worden van de Staat.</w:t>
      </w:r>
    </w:p>
    <w:p w14:paraId="61BCEBF5" w14:textId="59945D9A" w:rsidR="00724FEF" w:rsidRDefault="00B71960" w:rsidP="00724FEF">
      <w:pPr>
        <w:spacing w:line="276" w:lineRule="auto"/>
        <w:jc w:val="both"/>
        <w:rPr>
          <w:rFonts w:ascii="Calibri" w:eastAsia="Calibri" w:hAnsi="Calibri" w:cs="Calibri"/>
        </w:rPr>
      </w:pPr>
      <w:r>
        <w:rPr>
          <w:rFonts w:eastAsia="Calibri" w:cstheme="minorBidi"/>
        </w:rPr>
        <w:t xml:space="preserve">In antwoord op de </w:t>
      </w:r>
      <w:r w:rsidRPr="008E0CDB">
        <w:rPr>
          <w:rFonts w:eastAsia="Calibri" w:cstheme="minorBidi"/>
          <w:u w:val="single"/>
        </w:rPr>
        <w:t>derde vraag</w:t>
      </w:r>
      <w:r>
        <w:rPr>
          <w:rFonts w:eastAsia="Calibri" w:cstheme="minorBidi"/>
        </w:rPr>
        <w:t xml:space="preserve"> </w:t>
      </w:r>
      <w:r>
        <w:rPr>
          <w:rFonts w:ascii="Calibri" w:eastAsia="Calibri" w:hAnsi="Calibri" w:cs="Calibri"/>
        </w:rPr>
        <w:t>wordt toegelicht dat het</w:t>
      </w:r>
      <w:r w:rsidR="00724FEF">
        <w:rPr>
          <w:rFonts w:ascii="Calibri" w:eastAsia="Calibri" w:hAnsi="Calibri" w:cs="Calibri"/>
        </w:rPr>
        <w:t xml:space="preserve"> </w:t>
      </w:r>
      <w:r w:rsidR="00724FEF" w:rsidRPr="00494E8D">
        <w:rPr>
          <w:rFonts w:ascii="Calibri" w:eastAsia="Calibri" w:hAnsi="Calibri" w:cs="Calibri"/>
        </w:rPr>
        <w:t xml:space="preserve">woord “niettegenstaande” </w:t>
      </w:r>
      <w:r w:rsidR="00724FEF">
        <w:rPr>
          <w:rFonts w:ascii="Calibri" w:eastAsia="Calibri" w:hAnsi="Calibri" w:cs="Calibri"/>
        </w:rPr>
        <w:t>aange</w:t>
      </w:r>
      <w:r>
        <w:rPr>
          <w:rFonts w:ascii="Calibri" w:eastAsia="Calibri" w:hAnsi="Calibri" w:cs="Calibri"/>
        </w:rPr>
        <w:t>eft</w:t>
      </w:r>
      <w:r w:rsidR="00724FEF">
        <w:rPr>
          <w:rFonts w:ascii="Calibri" w:eastAsia="Calibri" w:hAnsi="Calibri" w:cs="Calibri"/>
        </w:rPr>
        <w:t xml:space="preserve"> dat binnen de absolute formulering van de verboden in artikel 1 er situaties zijn waarbij samenwerking op militair gebied met een niet-verdragsstaat die mogelijk deelneemt aan verboden activiteiten</w:t>
      </w:r>
      <w:r w:rsidR="00C0104A">
        <w:rPr>
          <w:rFonts w:ascii="Calibri" w:eastAsia="Calibri" w:hAnsi="Calibri" w:cs="Calibri"/>
        </w:rPr>
        <w:t>,</w:t>
      </w:r>
      <w:r w:rsidR="00724FEF">
        <w:rPr>
          <w:rFonts w:ascii="Calibri" w:eastAsia="Calibri" w:hAnsi="Calibri" w:cs="Calibri"/>
        </w:rPr>
        <w:t xml:space="preserve"> is toegestaan. Het geeft</w:t>
      </w:r>
      <w:r w:rsidR="00724FEF" w:rsidRPr="00494E8D">
        <w:rPr>
          <w:rFonts w:ascii="Calibri" w:eastAsia="Calibri" w:hAnsi="Calibri" w:cs="Calibri"/>
        </w:rPr>
        <w:t xml:space="preserve"> aan dat art</w:t>
      </w:r>
      <w:r w:rsidR="00724FEF">
        <w:rPr>
          <w:rFonts w:ascii="Calibri" w:eastAsia="Calibri" w:hAnsi="Calibri" w:cs="Calibri"/>
        </w:rPr>
        <w:t>ikel</w:t>
      </w:r>
      <w:r w:rsidR="00724FEF" w:rsidRPr="00494E8D">
        <w:rPr>
          <w:rFonts w:ascii="Calibri" w:eastAsia="Calibri" w:hAnsi="Calibri" w:cs="Calibri"/>
        </w:rPr>
        <w:t xml:space="preserve"> 21 lid 3 </w:t>
      </w:r>
      <w:r w:rsidR="00724FEF">
        <w:rPr>
          <w:rFonts w:ascii="Calibri" w:eastAsia="Calibri" w:hAnsi="Calibri" w:cs="Calibri"/>
        </w:rPr>
        <w:t xml:space="preserve">past binnen de ruimte die uit de hoofdverplichting van </w:t>
      </w:r>
      <w:r w:rsidR="00724FEF" w:rsidRPr="00494E8D">
        <w:rPr>
          <w:rFonts w:ascii="Calibri" w:eastAsia="Calibri" w:hAnsi="Calibri" w:cs="Calibri"/>
        </w:rPr>
        <w:t>art</w:t>
      </w:r>
      <w:r w:rsidR="00724FEF">
        <w:rPr>
          <w:rFonts w:ascii="Calibri" w:eastAsia="Calibri" w:hAnsi="Calibri" w:cs="Calibri"/>
        </w:rPr>
        <w:t>ikel</w:t>
      </w:r>
      <w:r w:rsidR="00724FEF" w:rsidRPr="00494E8D">
        <w:rPr>
          <w:rFonts w:ascii="Calibri" w:eastAsia="Calibri" w:hAnsi="Calibri" w:cs="Calibri"/>
        </w:rPr>
        <w:t xml:space="preserve"> 1 lid 1 sub c</w:t>
      </w:r>
      <w:r w:rsidR="00724FEF">
        <w:rPr>
          <w:rFonts w:ascii="Calibri" w:eastAsia="Calibri" w:hAnsi="Calibri" w:cs="Calibri"/>
        </w:rPr>
        <w:t xml:space="preserve"> volgt</w:t>
      </w:r>
      <w:r w:rsidR="00C0104A">
        <w:rPr>
          <w:rFonts w:ascii="Calibri" w:eastAsia="Calibri" w:hAnsi="Calibri" w:cs="Calibri"/>
        </w:rPr>
        <w:t>.</w:t>
      </w:r>
    </w:p>
    <w:p w14:paraId="27B4EEF2" w14:textId="5B8607F2" w:rsidR="00724FEF" w:rsidRPr="00494E8D" w:rsidRDefault="00724FEF" w:rsidP="00724FEF">
      <w:pPr>
        <w:jc w:val="both"/>
        <w:rPr>
          <w:rFonts w:ascii="Calibri" w:eastAsia="Calibri" w:hAnsi="Calibri" w:cs="Calibri"/>
        </w:rPr>
      </w:pPr>
      <w:r>
        <w:t xml:space="preserve">De </w:t>
      </w:r>
      <w:r w:rsidRPr="00615CBF">
        <w:rPr>
          <w:u w:val="single"/>
        </w:rPr>
        <w:t>vierde vraag</w:t>
      </w:r>
      <w:r>
        <w:t xml:space="preserve"> moet ontkennend beantwoord worden. Voorop wordt gesteld dat artikel 21 lid 3 geen recht geeft aan staten om op militair gebied samen te werken. Het biedt hen enkel de mogelijkheid daartoe binnen de reikwijdte van artikel 1 in situaties van interoperabiliteit (militaire samenwerking). </w:t>
      </w:r>
      <w:r w:rsidRPr="00494E8D">
        <w:rPr>
          <w:rFonts w:ascii="Calibri" w:eastAsia="Calibri" w:hAnsi="Calibri" w:cs="Calibri"/>
        </w:rPr>
        <w:t>Hier</w:t>
      </w:r>
      <w:r>
        <w:rPr>
          <w:rFonts w:ascii="Calibri" w:eastAsia="Calibri" w:hAnsi="Calibri" w:cs="Calibri"/>
        </w:rPr>
        <w:t xml:space="preserve">uit vloeit dus ook geen verplichting voort dat </w:t>
      </w:r>
      <w:r w:rsidRPr="005A1AF0">
        <w:rPr>
          <w:rFonts w:ascii="Calibri" w:eastAsia="Calibri" w:hAnsi="Calibri" w:cs="Calibri"/>
          <w:u w:val="single"/>
        </w:rPr>
        <w:t>geen</w:t>
      </w:r>
      <w:r>
        <w:rPr>
          <w:rFonts w:ascii="Calibri" w:eastAsia="Calibri" w:hAnsi="Calibri" w:cs="Calibri"/>
        </w:rPr>
        <w:t xml:space="preserve"> voorwaarden zouden mogen worden </w:t>
      </w:r>
      <w:r w:rsidRPr="00494E8D">
        <w:rPr>
          <w:rFonts w:ascii="Calibri" w:eastAsia="Calibri" w:hAnsi="Calibri" w:cs="Calibri"/>
        </w:rPr>
        <w:t>verb</w:t>
      </w:r>
      <w:r>
        <w:rPr>
          <w:rFonts w:ascii="Calibri" w:eastAsia="Calibri" w:hAnsi="Calibri" w:cs="Calibri"/>
        </w:rPr>
        <w:t>o</w:t>
      </w:r>
      <w:r w:rsidRPr="00494E8D">
        <w:rPr>
          <w:rFonts w:ascii="Calibri" w:eastAsia="Calibri" w:hAnsi="Calibri" w:cs="Calibri"/>
        </w:rPr>
        <w:t xml:space="preserve">nden aan de levering van wapensystemen die geschikt zijn voor het </w:t>
      </w:r>
      <w:r>
        <w:rPr>
          <w:rFonts w:ascii="Calibri" w:eastAsia="Calibri" w:hAnsi="Calibri" w:cs="Calibri"/>
        </w:rPr>
        <w:t>afwerpen</w:t>
      </w:r>
      <w:r w:rsidRPr="00494E8D">
        <w:rPr>
          <w:rFonts w:ascii="Calibri" w:eastAsia="Calibri" w:hAnsi="Calibri" w:cs="Calibri"/>
        </w:rPr>
        <w:t xml:space="preserve"> van clustermunitie. </w:t>
      </w:r>
      <w:r>
        <w:rPr>
          <w:rFonts w:ascii="Calibri" w:eastAsia="Calibri" w:hAnsi="Calibri" w:cs="Calibri"/>
        </w:rPr>
        <w:t>Zoals hierboven is toegelicht</w:t>
      </w:r>
      <w:r w:rsidR="001606D4">
        <w:rPr>
          <w:rFonts w:ascii="Calibri" w:eastAsia="Calibri" w:hAnsi="Calibri" w:cs="Calibri"/>
        </w:rPr>
        <w:t>,</w:t>
      </w:r>
      <w:r>
        <w:rPr>
          <w:rFonts w:ascii="Calibri" w:eastAsia="Calibri" w:hAnsi="Calibri" w:cs="Calibri"/>
        </w:rPr>
        <w:t xml:space="preserve"> bestaat die verplichting juist wel. </w:t>
      </w:r>
    </w:p>
    <w:p w14:paraId="2F01ED9D" w14:textId="58D4604F" w:rsidR="00724FEF" w:rsidRDefault="00217558" w:rsidP="00724FEF">
      <w:pPr>
        <w:spacing w:before="240" w:after="240"/>
        <w:jc w:val="both"/>
        <w:rPr>
          <w:rFonts w:ascii="Calibri" w:eastAsia="Calibri" w:hAnsi="Calibri" w:cs="Calibri"/>
        </w:rPr>
      </w:pPr>
      <w:r>
        <w:rPr>
          <w:rFonts w:eastAsia="Calibri" w:cstheme="minorBidi"/>
        </w:rPr>
        <w:t xml:space="preserve">Wat betreft de </w:t>
      </w:r>
      <w:r w:rsidRPr="00615CBF">
        <w:rPr>
          <w:rFonts w:eastAsia="Calibri" w:cstheme="minorBidi"/>
          <w:u w:val="single"/>
        </w:rPr>
        <w:t>vijfde vraag</w:t>
      </w:r>
      <w:r>
        <w:rPr>
          <w:rFonts w:eastAsia="Calibri" w:cstheme="minorBidi"/>
        </w:rPr>
        <w:t xml:space="preserve"> </w:t>
      </w:r>
      <w:r>
        <w:rPr>
          <w:rFonts w:ascii="Calibri" w:eastAsia="Calibri" w:hAnsi="Calibri" w:cs="Calibri"/>
        </w:rPr>
        <w:t>kan betoogd worden dat</w:t>
      </w:r>
      <w:r w:rsidRPr="00494E8D">
        <w:rPr>
          <w:rFonts w:ascii="Calibri" w:eastAsia="Calibri" w:hAnsi="Calibri" w:cs="Calibri"/>
        </w:rPr>
        <w:t xml:space="preserve"> Nederland op grond van </w:t>
      </w:r>
      <w:r w:rsidRPr="007F23EA">
        <w:rPr>
          <w:rFonts w:ascii="Calibri" w:eastAsia="Calibri" w:hAnsi="Calibri" w:cs="Calibri"/>
          <w:u w:val="single"/>
        </w:rPr>
        <w:t>artikel 1 G</w:t>
      </w:r>
      <w:r w:rsidR="004C6C3F" w:rsidRPr="007F23EA">
        <w:rPr>
          <w:rFonts w:ascii="Calibri" w:eastAsia="Calibri" w:hAnsi="Calibri" w:cs="Calibri"/>
          <w:u w:val="single"/>
        </w:rPr>
        <w:t>eneefse Conventies</w:t>
      </w:r>
      <w:r w:rsidR="004C6C3F">
        <w:rPr>
          <w:rFonts w:ascii="Calibri" w:eastAsia="Calibri" w:hAnsi="Calibri" w:cs="Calibri"/>
        </w:rPr>
        <w:t xml:space="preserve"> (GC) </w:t>
      </w:r>
      <w:r w:rsidRPr="00494E8D">
        <w:rPr>
          <w:rFonts w:ascii="Calibri" w:eastAsia="Calibri" w:hAnsi="Calibri" w:cs="Calibri"/>
        </w:rPr>
        <w:t xml:space="preserve">verplicht is om Oekraïne ertoe te bewegen om </w:t>
      </w:r>
      <w:r>
        <w:rPr>
          <w:rFonts w:ascii="Calibri" w:eastAsia="Calibri" w:hAnsi="Calibri" w:cs="Calibri"/>
        </w:rPr>
        <w:t xml:space="preserve">het internationaal recht te respecteren. Als het </w:t>
      </w:r>
      <w:r w:rsidRPr="002C5180">
        <w:rPr>
          <w:rFonts w:ascii="Calibri" w:eastAsia="Calibri" w:hAnsi="Calibri" w:cs="Calibri"/>
        </w:rPr>
        <w:t>risico op schendingen van internationaal humanitair recht redelijkerwijs kan worden voorzien</w:t>
      </w:r>
      <w:r w:rsidR="00013DC5">
        <w:rPr>
          <w:rFonts w:ascii="Calibri" w:eastAsia="Calibri" w:hAnsi="Calibri" w:cs="Calibri"/>
        </w:rPr>
        <w:t>,</w:t>
      </w:r>
      <w:r>
        <w:rPr>
          <w:rFonts w:ascii="Calibri" w:eastAsia="Calibri" w:hAnsi="Calibri" w:cs="Calibri"/>
        </w:rPr>
        <w:t xml:space="preserve"> brengt dit een verplichting met zich mee onder artikel 1 GC voor de Staat tot het </w:t>
      </w:r>
      <w:r w:rsidRPr="00494E8D">
        <w:rPr>
          <w:rFonts w:ascii="Calibri" w:eastAsia="Calibri" w:hAnsi="Calibri" w:cs="Calibri"/>
        </w:rPr>
        <w:t xml:space="preserve">treffen </w:t>
      </w:r>
      <w:r>
        <w:rPr>
          <w:rFonts w:ascii="Calibri" w:eastAsia="Calibri" w:hAnsi="Calibri" w:cs="Calibri"/>
        </w:rPr>
        <w:t xml:space="preserve">van maatregelen </w:t>
      </w:r>
      <w:r w:rsidRPr="00494E8D">
        <w:rPr>
          <w:rFonts w:ascii="Calibri" w:eastAsia="Calibri" w:hAnsi="Calibri" w:cs="Calibri"/>
        </w:rPr>
        <w:t xml:space="preserve">om dergelijke schendingen </w:t>
      </w:r>
      <w:r>
        <w:rPr>
          <w:rFonts w:ascii="Calibri" w:eastAsia="Calibri" w:hAnsi="Calibri" w:cs="Calibri"/>
        </w:rPr>
        <w:t xml:space="preserve">in </w:t>
      </w:r>
      <w:r w:rsidRPr="00494E8D">
        <w:rPr>
          <w:rFonts w:ascii="Calibri" w:eastAsia="Calibri" w:hAnsi="Calibri" w:cs="Calibri"/>
        </w:rPr>
        <w:t>een conflict te voorkomen</w:t>
      </w:r>
      <w:r w:rsidRPr="0075166B">
        <w:rPr>
          <w:rFonts w:ascii="Calibri" w:eastAsia="Calibri" w:hAnsi="Calibri" w:cs="Calibri"/>
        </w:rPr>
        <w:t xml:space="preserve">. Nederland </w:t>
      </w:r>
      <w:r w:rsidR="00013DC5">
        <w:rPr>
          <w:rFonts w:ascii="Calibri" w:eastAsia="Calibri" w:hAnsi="Calibri" w:cs="Calibri"/>
        </w:rPr>
        <w:t xml:space="preserve">heeft </w:t>
      </w:r>
      <w:r w:rsidRPr="0075166B">
        <w:rPr>
          <w:rFonts w:ascii="Calibri" w:eastAsia="Calibri" w:hAnsi="Calibri" w:cs="Calibri"/>
        </w:rPr>
        <w:t>een voorwaarde verbonden aan het gebruik van de F-16’s namelijk dat ze in lijn met het internationaal recht, waaronder het oorlogsrecht</w:t>
      </w:r>
      <w:r w:rsidR="005F36CA">
        <w:rPr>
          <w:rFonts w:ascii="Calibri" w:eastAsia="Calibri" w:hAnsi="Calibri" w:cs="Calibri"/>
        </w:rPr>
        <w:t xml:space="preserve">. </w:t>
      </w:r>
      <w:r w:rsidR="00CB28A7">
        <w:rPr>
          <w:rFonts w:ascii="Calibri" w:eastAsia="Calibri" w:hAnsi="Calibri" w:cs="Calibri"/>
        </w:rPr>
        <w:t>Of dit voldoe</w:t>
      </w:r>
      <w:r w:rsidR="00735EE7">
        <w:rPr>
          <w:rFonts w:ascii="Calibri" w:eastAsia="Calibri" w:hAnsi="Calibri" w:cs="Calibri"/>
        </w:rPr>
        <w:t>nde is</w:t>
      </w:r>
      <w:r w:rsidR="00D47A03">
        <w:rPr>
          <w:rFonts w:ascii="Calibri" w:eastAsia="Calibri" w:hAnsi="Calibri" w:cs="Calibri"/>
        </w:rPr>
        <w:t>,</w:t>
      </w:r>
      <w:r w:rsidR="00735EE7">
        <w:rPr>
          <w:rFonts w:ascii="Calibri" w:eastAsia="Calibri" w:hAnsi="Calibri" w:cs="Calibri"/>
        </w:rPr>
        <w:t xml:space="preserve"> is onzeker</w:t>
      </w:r>
      <w:r w:rsidR="00D47A03">
        <w:rPr>
          <w:rFonts w:ascii="Calibri" w:eastAsia="Calibri" w:hAnsi="Calibri" w:cs="Calibri"/>
        </w:rPr>
        <w:t xml:space="preserve"> en kan beter worden beoordeeld op grond van de specifieke verdragen</w:t>
      </w:r>
      <w:r w:rsidR="00735EE7">
        <w:rPr>
          <w:rFonts w:ascii="Calibri" w:eastAsia="Calibri" w:hAnsi="Calibri" w:cs="Calibri"/>
        </w:rPr>
        <w:t>.</w:t>
      </w:r>
      <w:r w:rsidR="00B71960" w:rsidRPr="00994B7B">
        <w:rPr>
          <w:rFonts w:ascii="Calibri" w:eastAsia="Calibri" w:hAnsi="Calibri" w:cs="Calibri"/>
        </w:rPr>
        <w:t xml:space="preserve"> </w:t>
      </w:r>
      <w:r w:rsidR="00FE6627" w:rsidRPr="00994B7B">
        <w:rPr>
          <w:rFonts w:ascii="Calibri" w:eastAsia="Calibri" w:hAnsi="Calibri" w:cs="Calibri"/>
        </w:rPr>
        <w:t>Op grond</w:t>
      </w:r>
      <w:r w:rsidR="00FE6627" w:rsidRPr="00494E8D">
        <w:rPr>
          <w:rFonts w:ascii="Calibri" w:eastAsia="Calibri" w:hAnsi="Calibri" w:cs="Calibri"/>
        </w:rPr>
        <w:t xml:space="preserve"> van het </w:t>
      </w:r>
      <w:r w:rsidR="00FE6627" w:rsidRPr="007F23EA">
        <w:rPr>
          <w:rFonts w:ascii="Calibri" w:eastAsia="Calibri" w:hAnsi="Calibri" w:cs="Calibri"/>
          <w:u w:val="single"/>
        </w:rPr>
        <w:t>Wapenhandelsverdrag</w:t>
      </w:r>
      <w:r w:rsidR="00FE6627" w:rsidRPr="00494E8D">
        <w:rPr>
          <w:rFonts w:ascii="Calibri" w:eastAsia="Calibri" w:hAnsi="Calibri" w:cs="Calibri"/>
        </w:rPr>
        <w:t xml:space="preserve"> </w:t>
      </w:r>
      <w:r w:rsidR="00AD5611">
        <w:rPr>
          <w:rFonts w:ascii="Calibri" w:eastAsia="Calibri" w:hAnsi="Calibri" w:cs="Calibri"/>
        </w:rPr>
        <w:t xml:space="preserve">geldt </w:t>
      </w:r>
      <w:r w:rsidR="008D5F7C">
        <w:rPr>
          <w:rFonts w:ascii="Calibri" w:eastAsia="Calibri" w:hAnsi="Calibri" w:cs="Calibri"/>
        </w:rPr>
        <w:t xml:space="preserve">namelijk </w:t>
      </w:r>
      <w:r w:rsidR="00AD5611">
        <w:rPr>
          <w:rFonts w:ascii="Calibri" w:eastAsia="Calibri" w:hAnsi="Calibri" w:cs="Calibri"/>
        </w:rPr>
        <w:t xml:space="preserve">dat </w:t>
      </w:r>
      <w:r w:rsidR="00FE6627" w:rsidRPr="00494E8D">
        <w:rPr>
          <w:rFonts w:ascii="Calibri" w:eastAsia="Calibri" w:hAnsi="Calibri" w:cs="Calibri"/>
        </w:rPr>
        <w:t xml:space="preserve">Nederland voorafgaand aan de toestemming voor de export </w:t>
      </w:r>
      <w:r w:rsidR="00AD5611">
        <w:rPr>
          <w:rFonts w:ascii="Calibri" w:eastAsia="Calibri" w:hAnsi="Calibri" w:cs="Calibri"/>
        </w:rPr>
        <w:t xml:space="preserve">moet </w:t>
      </w:r>
      <w:r w:rsidR="00FE6627" w:rsidRPr="00494E8D">
        <w:rPr>
          <w:rFonts w:ascii="Calibri" w:eastAsia="Calibri" w:hAnsi="Calibri" w:cs="Calibri"/>
        </w:rPr>
        <w:t xml:space="preserve">beoordelen of de wapens mogelijk gebruikt worden voor een schending van </w:t>
      </w:r>
      <w:r w:rsidR="007F23EA">
        <w:rPr>
          <w:rFonts w:ascii="Calibri" w:eastAsia="Calibri" w:hAnsi="Calibri" w:cs="Calibri"/>
        </w:rPr>
        <w:t>internationaal humanitair recht (IHR)</w:t>
      </w:r>
      <w:r w:rsidR="00FE6627" w:rsidRPr="00494E8D">
        <w:rPr>
          <w:rFonts w:ascii="Calibri" w:eastAsia="Calibri" w:hAnsi="Calibri" w:cs="Calibri"/>
        </w:rPr>
        <w:t xml:space="preserve"> (zoals art</w:t>
      </w:r>
      <w:r w:rsidR="00FE6627">
        <w:rPr>
          <w:rFonts w:ascii="Calibri" w:eastAsia="Calibri" w:hAnsi="Calibri" w:cs="Calibri"/>
        </w:rPr>
        <w:t>ikel</w:t>
      </w:r>
      <w:r w:rsidR="00FE6627" w:rsidRPr="00494E8D">
        <w:rPr>
          <w:rFonts w:ascii="Calibri" w:eastAsia="Calibri" w:hAnsi="Calibri" w:cs="Calibri"/>
        </w:rPr>
        <w:t xml:space="preserve"> 51 lid 4 sub b AP I). </w:t>
      </w:r>
      <w:r w:rsidR="00FE6627">
        <w:rPr>
          <w:rFonts w:ascii="Calibri" w:eastAsia="Calibri" w:hAnsi="Calibri" w:cs="Calibri"/>
        </w:rPr>
        <w:t>G</w:t>
      </w:r>
      <w:r w:rsidR="00FE6627" w:rsidRPr="00494E8D">
        <w:rPr>
          <w:rFonts w:ascii="Calibri" w:eastAsia="Calibri" w:hAnsi="Calibri" w:cs="Calibri"/>
        </w:rPr>
        <w:t xml:space="preserve">esteld </w:t>
      </w:r>
      <w:r w:rsidR="00FE6627">
        <w:rPr>
          <w:rFonts w:ascii="Calibri" w:eastAsia="Calibri" w:hAnsi="Calibri" w:cs="Calibri"/>
        </w:rPr>
        <w:t xml:space="preserve">kan </w:t>
      </w:r>
      <w:r w:rsidR="00FE6627" w:rsidRPr="00494E8D">
        <w:rPr>
          <w:rFonts w:ascii="Calibri" w:eastAsia="Calibri" w:hAnsi="Calibri" w:cs="Calibri"/>
        </w:rPr>
        <w:t xml:space="preserve">worden dat </w:t>
      </w:r>
      <w:r w:rsidR="00FE6627">
        <w:rPr>
          <w:rFonts w:ascii="Calibri" w:eastAsia="Calibri" w:hAnsi="Calibri" w:cs="Calibri"/>
        </w:rPr>
        <w:t xml:space="preserve">als er een duidelijk risico is dat Oekraïne de F-16’s zal gebruiken om </w:t>
      </w:r>
      <w:r w:rsidR="00FE6627" w:rsidRPr="00494E8D">
        <w:rPr>
          <w:rFonts w:ascii="Calibri" w:eastAsia="Calibri" w:hAnsi="Calibri" w:cs="Calibri"/>
        </w:rPr>
        <w:t>clustermunitie</w:t>
      </w:r>
      <w:r w:rsidR="00FE6627">
        <w:rPr>
          <w:rFonts w:ascii="Calibri" w:eastAsia="Calibri" w:hAnsi="Calibri" w:cs="Calibri"/>
        </w:rPr>
        <w:t xml:space="preserve"> in te zetten zonder dat </w:t>
      </w:r>
      <w:r w:rsidR="00FE6627" w:rsidRPr="00494E8D">
        <w:rPr>
          <w:rFonts w:ascii="Calibri" w:eastAsia="Calibri" w:hAnsi="Calibri" w:cs="Calibri"/>
        </w:rPr>
        <w:t xml:space="preserve">onderscheid </w:t>
      </w:r>
      <w:r w:rsidR="00FE6627">
        <w:rPr>
          <w:rFonts w:ascii="Calibri" w:eastAsia="Calibri" w:hAnsi="Calibri" w:cs="Calibri"/>
        </w:rPr>
        <w:t>wordt ge</w:t>
      </w:r>
      <w:r w:rsidR="00FE6627" w:rsidRPr="00494E8D">
        <w:rPr>
          <w:rFonts w:ascii="Calibri" w:eastAsia="Calibri" w:hAnsi="Calibri" w:cs="Calibri"/>
        </w:rPr>
        <w:t>maakt tussen burgers of burgerdoelen en militaire doelen</w:t>
      </w:r>
      <w:r w:rsidR="00E17161">
        <w:rPr>
          <w:rFonts w:ascii="Calibri" w:eastAsia="Calibri" w:hAnsi="Calibri" w:cs="Calibri"/>
        </w:rPr>
        <w:t>,</w:t>
      </w:r>
      <w:r w:rsidR="00FE6627">
        <w:rPr>
          <w:rFonts w:ascii="Calibri" w:eastAsia="Calibri" w:hAnsi="Calibri" w:cs="Calibri"/>
        </w:rPr>
        <w:t xml:space="preserve"> de export op grond van het Wapenhandelsverdrag verboden</w:t>
      </w:r>
      <w:r w:rsidR="00E17161">
        <w:rPr>
          <w:rFonts w:ascii="Calibri" w:eastAsia="Calibri" w:hAnsi="Calibri" w:cs="Calibri"/>
        </w:rPr>
        <w:t xml:space="preserve"> is</w:t>
      </w:r>
      <w:r w:rsidR="00FE6627">
        <w:rPr>
          <w:rFonts w:ascii="Calibri" w:eastAsia="Calibri" w:hAnsi="Calibri" w:cs="Calibri"/>
        </w:rPr>
        <w:t xml:space="preserve">. </w:t>
      </w:r>
      <w:r w:rsidR="00FE6627" w:rsidRPr="00494E8D">
        <w:rPr>
          <w:rFonts w:ascii="Calibri" w:eastAsia="Calibri" w:hAnsi="Calibri" w:cs="Calibri"/>
        </w:rPr>
        <w:t xml:space="preserve">Als dit zo is, mag de export niet </w:t>
      </w:r>
      <w:r w:rsidR="00E17161">
        <w:rPr>
          <w:rFonts w:ascii="Calibri" w:eastAsia="Calibri" w:hAnsi="Calibri" w:cs="Calibri"/>
        </w:rPr>
        <w:t>plaatsvinden</w:t>
      </w:r>
      <w:r w:rsidR="00FE6627" w:rsidRPr="00494E8D">
        <w:rPr>
          <w:rFonts w:ascii="Calibri" w:eastAsia="Calibri" w:hAnsi="Calibri" w:cs="Calibri"/>
        </w:rPr>
        <w:t xml:space="preserve">. </w:t>
      </w:r>
      <w:r w:rsidR="00FE6627">
        <w:rPr>
          <w:rFonts w:ascii="Calibri" w:eastAsia="Calibri" w:hAnsi="Calibri" w:cs="Calibri"/>
        </w:rPr>
        <w:t>A</w:t>
      </w:r>
      <w:r w:rsidR="00FE6627" w:rsidRPr="00494E8D">
        <w:rPr>
          <w:rFonts w:ascii="Calibri" w:eastAsia="Calibri" w:hAnsi="Calibri" w:cs="Calibri"/>
        </w:rPr>
        <w:t>rt</w:t>
      </w:r>
      <w:r w:rsidR="00FE6627">
        <w:rPr>
          <w:rFonts w:ascii="Calibri" w:eastAsia="Calibri" w:hAnsi="Calibri" w:cs="Calibri"/>
        </w:rPr>
        <w:t xml:space="preserve">ikel </w:t>
      </w:r>
      <w:r w:rsidR="00FE6627" w:rsidRPr="00494E8D">
        <w:rPr>
          <w:rFonts w:ascii="Calibri" w:eastAsia="Calibri" w:hAnsi="Calibri" w:cs="Calibri"/>
        </w:rPr>
        <w:t>7 lid 2 Wapenhandelsverdrag</w:t>
      </w:r>
      <w:r w:rsidR="00FE6627">
        <w:rPr>
          <w:rFonts w:ascii="Calibri" w:eastAsia="Calibri" w:hAnsi="Calibri" w:cs="Calibri"/>
        </w:rPr>
        <w:t xml:space="preserve"> biedt wel de ruimte </w:t>
      </w:r>
      <w:r w:rsidR="006C7598">
        <w:rPr>
          <w:rFonts w:ascii="Calibri" w:eastAsia="Calibri" w:hAnsi="Calibri" w:cs="Calibri"/>
        </w:rPr>
        <w:t xml:space="preserve">voor het stellen van </w:t>
      </w:r>
      <w:r w:rsidR="00FE6627">
        <w:rPr>
          <w:rFonts w:ascii="Calibri" w:eastAsia="Calibri" w:hAnsi="Calibri" w:cs="Calibri"/>
        </w:rPr>
        <w:t>een gebruiks</w:t>
      </w:r>
      <w:r w:rsidR="00FE6627" w:rsidRPr="00494E8D">
        <w:rPr>
          <w:rFonts w:ascii="Calibri" w:eastAsia="Calibri" w:hAnsi="Calibri" w:cs="Calibri"/>
        </w:rPr>
        <w:t xml:space="preserve">voorwaarde dat de geleverde </w:t>
      </w:r>
      <w:r w:rsidR="00FE6627">
        <w:rPr>
          <w:rFonts w:eastAsia="Calibri" w:cstheme="minorBidi"/>
        </w:rPr>
        <w:t>F-16’s</w:t>
      </w:r>
      <w:r w:rsidR="00FE6627" w:rsidRPr="00494E8D">
        <w:rPr>
          <w:rFonts w:ascii="Calibri" w:eastAsia="Calibri" w:hAnsi="Calibri" w:cs="Calibri"/>
        </w:rPr>
        <w:t xml:space="preserve"> niet gebruikt </w:t>
      </w:r>
      <w:r w:rsidR="00FE6627">
        <w:rPr>
          <w:rFonts w:ascii="Calibri" w:eastAsia="Calibri" w:hAnsi="Calibri" w:cs="Calibri"/>
        </w:rPr>
        <w:t xml:space="preserve">mogen </w:t>
      </w:r>
      <w:r w:rsidR="00FE6627" w:rsidRPr="00494E8D">
        <w:rPr>
          <w:rFonts w:ascii="Calibri" w:eastAsia="Calibri" w:hAnsi="Calibri" w:cs="Calibri"/>
        </w:rPr>
        <w:t>worden voor clustermunitie</w:t>
      </w:r>
      <w:r w:rsidR="006C7598">
        <w:rPr>
          <w:rFonts w:ascii="Calibri" w:eastAsia="Calibri" w:hAnsi="Calibri" w:cs="Calibri"/>
        </w:rPr>
        <w:t xml:space="preserve">. In dat geval kunnen </w:t>
      </w:r>
      <w:r w:rsidR="00FE6627">
        <w:rPr>
          <w:rFonts w:ascii="Calibri" w:eastAsia="Calibri" w:hAnsi="Calibri" w:cs="Calibri"/>
        </w:rPr>
        <w:t>de F-16’s geëxporteerd worden</w:t>
      </w:r>
      <w:r w:rsidR="00FE6627" w:rsidRPr="00494E8D">
        <w:rPr>
          <w:rFonts w:ascii="Calibri" w:eastAsia="Calibri" w:hAnsi="Calibri" w:cs="Calibri"/>
        </w:rPr>
        <w:t>.</w:t>
      </w:r>
    </w:p>
    <w:p w14:paraId="7293BA9D" w14:textId="0EBBC04D" w:rsidR="00FB309C" w:rsidRDefault="00FB309C">
      <w:pPr>
        <w:rPr>
          <w:rFonts w:ascii="Calibri" w:eastAsia="Calibri" w:hAnsi="Calibri" w:cs="Calibri"/>
        </w:rPr>
      </w:pPr>
      <w:r>
        <w:rPr>
          <w:rFonts w:ascii="Calibri" w:eastAsia="Calibri" w:hAnsi="Calibri" w:cs="Calibri"/>
        </w:rPr>
        <w:br w:type="page"/>
      </w:r>
    </w:p>
    <w:p w14:paraId="09A7CE3B" w14:textId="2C560CBF" w:rsidR="00C4728C" w:rsidRDefault="00C4728C" w:rsidP="00724FEF">
      <w:pPr>
        <w:pStyle w:val="Kop1"/>
        <w:jc w:val="both"/>
      </w:pPr>
      <w:bookmarkStart w:id="2" w:name="_Toc185491837"/>
      <w:r w:rsidRPr="00D97F4C">
        <w:lastRenderedPageBreak/>
        <w:t>Feiten</w:t>
      </w:r>
      <w:bookmarkEnd w:id="2"/>
    </w:p>
    <w:p w14:paraId="7F8FD4D0" w14:textId="54D8069A" w:rsidR="00D97F4C" w:rsidRDefault="00D97F4C" w:rsidP="00FB309C">
      <w:pPr>
        <w:pStyle w:val="Kop2"/>
        <w:jc w:val="both"/>
      </w:pPr>
      <w:bookmarkStart w:id="3" w:name="_Toc185491838"/>
      <w:r>
        <w:t>Militaire steun Nederland</w:t>
      </w:r>
      <w:bookmarkEnd w:id="3"/>
    </w:p>
    <w:p w14:paraId="4803E175" w14:textId="7F6C79F6" w:rsidR="002665A7" w:rsidRDefault="002665A7" w:rsidP="00724FEF">
      <w:pPr>
        <w:pStyle w:val="Tekst"/>
        <w:numPr>
          <w:ilvl w:val="0"/>
          <w:numId w:val="0"/>
        </w:numPr>
        <w:jc w:val="both"/>
      </w:pPr>
      <w:r>
        <w:t>Nederland verleent militaire steun aan Oekraïne</w:t>
      </w:r>
      <w:r w:rsidR="00216406">
        <w:t xml:space="preserve">, onder meer door het doneren van </w:t>
      </w:r>
      <w:r w:rsidR="00841B53">
        <w:t xml:space="preserve">24 </w:t>
      </w:r>
      <w:r w:rsidR="00216406">
        <w:t>F-16’s aan Oekraïne.</w:t>
      </w:r>
      <w:r w:rsidR="00216406">
        <w:rPr>
          <w:rStyle w:val="Voetnootmarkering"/>
        </w:rPr>
        <w:footnoteReference w:id="2"/>
      </w:r>
      <w:r w:rsidR="00F02784">
        <w:t xml:space="preserve"> </w:t>
      </w:r>
      <w:r w:rsidR="00C53A83">
        <w:t xml:space="preserve">De eerste daarvan zijn </w:t>
      </w:r>
      <w:r w:rsidR="000E54D1">
        <w:t>in oktober 2024 geleverd.</w:t>
      </w:r>
      <w:r w:rsidR="000E54D1">
        <w:rPr>
          <w:rStyle w:val="Voetnootmarkering"/>
        </w:rPr>
        <w:footnoteReference w:id="3"/>
      </w:r>
      <w:r w:rsidR="000E54D1">
        <w:t xml:space="preserve"> </w:t>
      </w:r>
      <w:r w:rsidR="00F02784">
        <w:t xml:space="preserve">Ook </w:t>
      </w:r>
      <w:r w:rsidR="0095743F">
        <w:t xml:space="preserve">stelde Nederland 12 tot 18 F-16’s ter beschikking voor het trainen van Oekraïense F-16 piloten die werden </w:t>
      </w:r>
      <w:r w:rsidR="00ED179D">
        <w:t xml:space="preserve">getraind </w:t>
      </w:r>
      <w:r w:rsidR="0095743F">
        <w:t>door Lockhe</w:t>
      </w:r>
      <w:r w:rsidR="00ED179D">
        <w:t>ed Marting</w:t>
      </w:r>
      <w:r w:rsidR="003E17CC">
        <w:t>,</w:t>
      </w:r>
      <w:r w:rsidR="00ED179D">
        <w:rPr>
          <w:rStyle w:val="Voetnootmarkering"/>
        </w:rPr>
        <w:footnoteReference w:id="4"/>
      </w:r>
      <w:r w:rsidR="003E17CC">
        <w:t xml:space="preserve"> heeft het </w:t>
      </w:r>
      <w:r w:rsidR="00B23213">
        <w:t>Oekraïense</w:t>
      </w:r>
      <w:r w:rsidR="003E17CC">
        <w:t xml:space="preserve"> militairen opgeleid om F-16’s te onderhouden</w:t>
      </w:r>
      <w:r w:rsidR="00752246">
        <w:rPr>
          <w:rStyle w:val="Voetnootmarkering"/>
        </w:rPr>
        <w:footnoteReference w:id="5"/>
      </w:r>
      <w:r w:rsidR="00B23213">
        <w:t xml:space="preserve"> en heeft het munitie en reserveonderdelen voor de F-16</w:t>
      </w:r>
      <w:r w:rsidR="00CB27A2">
        <w:t>’</w:t>
      </w:r>
      <w:r w:rsidR="00B23213">
        <w:t xml:space="preserve">s </w:t>
      </w:r>
      <w:r w:rsidR="00CB27A2">
        <w:t>gedoneerd aan Oekraïne.</w:t>
      </w:r>
      <w:r w:rsidR="00CB27A2">
        <w:rPr>
          <w:rStyle w:val="Voetnootmarkering"/>
        </w:rPr>
        <w:footnoteReference w:id="6"/>
      </w:r>
      <w:r w:rsidR="00CB27A2">
        <w:t xml:space="preserve"> </w:t>
      </w:r>
      <w:r w:rsidR="00B23213">
        <w:t xml:space="preserve"> </w:t>
      </w:r>
      <w:r w:rsidR="00752246">
        <w:t xml:space="preserve"> </w:t>
      </w:r>
      <w:r w:rsidR="003E17CC">
        <w:t xml:space="preserve"> </w:t>
      </w:r>
      <w:r w:rsidR="0095743F">
        <w:t xml:space="preserve"> </w:t>
      </w:r>
    </w:p>
    <w:p w14:paraId="4EBFE2EF" w14:textId="5DBDF8EC" w:rsidR="001169C1" w:rsidRPr="00C92AF8" w:rsidRDefault="00351B5E" w:rsidP="00724FEF">
      <w:pPr>
        <w:spacing w:before="240" w:after="240"/>
        <w:jc w:val="both"/>
        <w:rPr>
          <w:rFonts w:ascii="Calibri" w:eastAsia="Calibri" w:hAnsi="Calibri" w:cs="Calibri"/>
        </w:rPr>
      </w:pPr>
      <w:r w:rsidRPr="00C92AF8">
        <w:rPr>
          <w:rFonts w:ascii="Calibri" w:eastAsia="Calibri" w:hAnsi="Calibri" w:cs="Calibri"/>
        </w:rPr>
        <w:t xml:space="preserve">In juli 2024 meldde </w:t>
      </w:r>
      <w:r w:rsidR="00D12A20" w:rsidRPr="00C92AF8">
        <w:rPr>
          <w:rFonts w:ascii="Calibri" w:eastAsia="Calibri" w:hAnsi="Calibri" w:cs="Calibri"/>
        </w:rPr>
        <w:t xml:space="preserve">de minister </w:t>
      </w:r>
      <w:r w:rsidRPr="00C92AF8">
        <w:rPr>
          <w:rFonts w:ascii="Calibri" w:eastAsia="Calibri" w:hAnsi="Calibri" w:cs="Calibri"/>
        </w:rPr>
        <w:t>van Defensie dat de overdracht van F-16</w:t>
      </w:r>
      <w:r w:rsidR="009033C2">
        <w:rPr>
          <w:rFonts w:ascii="Calibri" w:eastAsia="Calibri" w:hAnsi="Calibri" w:cs="Calibri"/>
        </w:rPr>
        <w:t>’s</w:t>
      </w:r>
      <w:r w:rsidRPr="00C92AF8">
        <w:rPr>
          <w:rFonts w:ascii="Calibri" w:eastAsia="Calibri" w:hAnsi="Calibri" w:cs="Calibri"/>
        </w:rPr>
        <w:t xml:space="preserve"> aan Oekraïne snel naderde</w:t>
      </w:r>
      <w:r w:rsidR="00D12A20" w:rsidRPr="00C92AF8">
        <w:rPr>
          <w:rFonts w:ascii="Calibri" w:eastAsia="Calibri" w:hAnsi="Calibri" w:cs="Calibri"/>
        </w:rPr>
        <w:t xml:space="preserve"> en dat de vergunning voor uitvoer was afgegeven</w:t>
      </w:r>
      <w:r w:rsidRPr="00C92AF8">
        <w:rPr>
          <w:rFonts w:ascii="Calibri" w:eastAsia="Calibri" w:hAnsi="Calibri" w:cs="Calibri"/>
        </w:rPr>
        <w:t>.</w:t>
      </w:r>
      <w:r>
        <w:rPr>
          <w:rStyle w:val="Voetnootmarkering"/>
          <w:rFonts w:ascii="Calibri" w:eastAsia="Calibri" w:hAnsi="Calibri"/>
          <w:lang w:val="en-US"/>
        </w:rPr>
        <w:footnoteReference w:id="7"/>
      </w:r>
      <w:r w:rsidR="00064994" w:rsidRPr="00C92AF8">
        <w:rPr>
          <w:rFonts w:ascii="Calibri" w:eastAsia="Calibri" w:hAnsi="Calibri" w:cs="Calibri"/>
        </w:rPr>
        <w:t xml:space="preserve"> </w:t>
      </w:r>
      <w:r w:rsidR="001169C1">
        <w:rPr>
          <w:rFonts w:ascii="Calibri" w:hAnsi="Calibri" w:cs="Calibri"/>
        </w:rPr>
        <w:t xml:space="preserve">Inmiddels heeft de </w:t>
      </w:r>
      <w:r w:rsidR="00B97FE1">
        <w:rPr>
          <w:rFonts w:ascii="Calibri" w:hAnsi="Calibri" w:cs="Calibri"/>
        </w:rPr>
        <w:t>Oekraïense</w:t>
      </w:r>
      <w:r w:rsidR="001169C1">
        <w:rPr>
          <w:rFonts w:ascii="Calibri" w:hAnsi="Calibri" w:cs="Calibri"/>
        </w:rPr>
        <w:t xml:space="preserve"> president </w:t>
      </w:r>
      <w:proofErr w:type="spellStart"/>
      <w:r w:rsidR="001169C1">
        <w:rPr>
          <w:rFonts w:ascii="Calibri" w:hAnsi="Calibri" w:cs="Calibri"/>
        </w:rPr>
        <w:t>Zelensky</w:t>
      </w:r>
      <w:proofErr w:type="spellEnd"/>
      <w:r w:rsidR="001169C1">
        <w:rPr>
          <w:rFonts w:ascii="Calibri" w:hAnsi="Calibri" w:cs="Calibri"/>
        </w:rPr>
        <w:t xml:space="preserve"> bevestigd dat</w:t>
      </w:r>
      <w:r w:rsidR="00AB105C">
        <w:rPr>
          <w:rFonts w:ascii="Calibri" w:hAnsi="Calibri" w:cs="Calibri"/>
        </w:rPr>
        <w:t xml:space="preserve"> er </w:t>
      </w:r>
      <w:r w:rsidR="001169C1">
        <w:rPr>
          <w:rFonts w:ascii="Calibri" w:hAnsi="Calibri" w:cs="Calibri"/>
        </w:rPr>
        <w:t xml:space="preserve">F-16 gevechtsvliegtuigen </w:t>
      </w:r>
      <w:r w:rsidR="00AB105C">
        <w:rPr>
          <w:rFonts w:ascii="Calibri" w:hAnsi="Calibri" w:cs="Calibri"/>
        </w:rPr>
        <w:t>zijn geleverd en dat ze</w:t>
      </w:r>
      <w:r w:rsidR="001169C1">
        <w:rPr>
          <w:rFonts w:ascii="Calibri" w:hAnsi="Calibri" w:cs="Calibri"/>
        </w:rPr>
        <w:t xml:space="preserve"> worden ingezet in het luchtruim boven Oekraïne.</w:t>
      </w:r>
      <w:r w:rsidR="001169C1">
        <w:rPr>
          <w:rStyle w:val="Voetnootmarkering"/>
          <w:rFonts w:ascii="Calibri" w:hAnsi="Calibri" w:cs="Calibri"/>
        </w:rPr>
        <w:footnoteReference w:id="8"/>
      </w:r>
      <w:r w:rsidR="00AB105C">
        <w:rPr>
          <w:rFonts w:ascii="Calibri" w:hAnsi="Calibri" w:cs="Calibri"/>
        </w:rPr>
        <w:t xml:space="preserve"> Onduidelijk is of dit door Nederland geleverde F-16’s zijn. </w:t>
      </w:r>
    </w:p>
    <w:p w14:paraId="582A1D71" w14:textId="77777777" w:rsidR="00D97F4C" w:rsidRPr="002665A7" w:rsidRDefault="00D97F4C" w:rsidP="00724FEF">
      <w:pPr>
        <w:pStyle w:val="Tekst"/>
        <w:numPr>
          <w:ilvl w:val="0"/>
          <w:numId w:val="0"/>
        </w:numPr>
        <w:jc w:val="both"/>
      </w:pPr>
    </w:p>
    <w:p w14:paraId="332F3FAC" w14:textId="77777777" w:rsidR="00FB309C" w:rsidRDefault="003963E6" w:rsidP="00FB309C">
      <w:pPr>
        <w:pStyle w:val="Kop2"/>
        <w:jc w:val="both"/>
      </w:pPr>
      <w:bookmarkStart w:id="4" w:name="_Toc185491839"/>
      <w:r w:rsidRPr="004F4B11">
        <w:t>Gebruik</w:t>
      </w:r>
      <w:r w:rsidR="004F4B11">
        <w:t xml:space="preserve"> </w:t>
      </w:r>
      <w:r w:rsidR="00BF1883">
        <w:t xml:space="preserve">van </w:t>
      </w:r>
      <w:r w:rsidRPr="004F4B11">
        <w:t>clustermunitie</w:t>
      </w:r>
      <w:r w:rsidR="004F4B11">
        <w:t xml:space="preserve"> door Oekraïne</w:t>
      </w:r>
      <w:bookmarkEnd w:id="4"/>
    </w:p>
    <w:p w14:paraId="3E7F28BE" w14:textId="082657B1" w:rsidR="00EE7E7C" w:rsidRPr="00FB309C" w:rsidRDefault="00EE7E7C" w:rsidP="00FB309C">
      <w:pPr>
        <w:rPr>
          <w:rFonts w:eastAsiaTheme="majorEastAsia"/>
        </w:rPr>
      </w:pPr>
      <w:r w:rsidRPr="00FB309C">
        <w:rPr>
          <w:rFonts w:eastAsia="Calibri"/>
        </w:rPr>
        <w:t xml:space="preserve">Oekraïne geeft aan dat het clustermunitie gebruikt. </w:t>
      </w:r>
      <w:r w:rsidR="00276DDC" w:rsidRPr="00FB309C">
        <w:rPr>
          <w:rFonts w:eastAsia="Calibri"/>
        </w:rPr>
        <w:t xml:space="preserve">De voormalige </w:t>
      </w:r>
      <w:r w:rsidR="00211862" w:rsidRPr="00FB309C">
        <w:rPr>
          <w:rFonts w:eastAsia="Calibri"/>
        </w:rPr>
        <w:t>Oekraïense</w:t>
      </w:r>
      <w:r w:rsidR="00276DDC" w:rsidRPr="00FB309C">
        <w:rPr>
          <w:rFonts w:eastAsia="Calibri"/>
        </w:rPr>
        <w:t xml:space="preserve"> minister van Defensie heeft aangegeven dat </w:t>
      </w:r>
      <w:r w:rsidR="00211862" w:rsidRPr="00FB309C">
        <w:rPr>
          <w:rFonts w:eastAsia="Calibri"/>
        </w:rPr>
        <w:t>Oekraïne</w:t>
      </w:r>
      <w:r w:rsidR="00987E34" w:rsidRPr="00FB309C">
        <w:rPr>
          <w:rFonts w:eastAsia="Calibri"/>
        </w:rPr>
        <w:t xml:space="preserve"> alleen clustermunitie zal gebruiken op het eigen </w:t>
      </w:r>
      <w:r w:rsidR="00987E34" w:rsidRPr="0075166B">
        <w:rPr>
          <w:rFonts w:eastAsia="Calibri"/>
        </w:rPr>
        <w:t xml:space="preserve">(bezette) </w:t>
      </w:r>
      <w:r w:rsidR="00987E34" w:rsidRPr="00D01DE2">
        <w:rPr>
          <w:rFonts w:eastAsia="Calibri"/>
        </w:rPr>
        <w:t>grondgebied</w:t>
      </w:r>
      <w:r w:rsidR="00754A1B" w:rsidRPr="00D01DE2">
        <w:rPr>
          <w:rFonts w:eastAsia="Calibri"/>
        </w:rPr>
        <w:t>,</w:t>
      </w:r>
      <w:r w:rsidR="00987E34" w:rsidRPr="00D01DE2">
        <w:rPr>
          <w:rFonts w:eastAsia="Calibri"/>
        </w:rPr>
        <w:t xml:space="preserve"> niet </w:t>
      </w:r>
      <w:r w:rsidR="00211862" w:rsidRPr="00D01DE2">
        <w:rPr>
          <w:rFonts w:eastAsia="Calibri"/>
        </w:rPr>
        <w:t>in bevolkte gebieden</w:t>
      </w:r>
      <w:r w:rsidR="00D01DE2">
        <w:rPr>
          <w:rFonts w:eastAsia="Calibri"/>
        </w:rPr>
        <w:t>,</w:t>
      </w:r>
      <w:r w:rsidR="00754A1B" w:rsidRPr="00D01DE2">
        <w:rPr>
          <w:rFonts w:eastAsia="Calibri"/>
        </w:rPr>
        <w:t xml:space="preserve"> en uitsluitend tegen militaire doe</w:t>
      </w:r>
      <w:r w:rsidR="00B4250A">
        <w:rPr>
          <w:rFonts w:eastAsia="Calibri"/>
        </w:rPr>
        <w:t>len.</w:t>
      </w:r>
      <w:r w:rsidR="00211862" w:rsidRPr="00D01DE2">
        <w:rPr>
          <w:rStyle w:val="Voetnootmarkering"/>
          <w:rFonts w:ascii="Calibri" w:eastAsia="Calibri" w:hAnsi="Calibri"/>
        </w:rPr>
        <w:footnoteReference w:id="9"/>
      </w:r>
    </w:p>
    <w:p w14:paraId="07296EF8" w14:textId="45C045BC" w:rsidR="00C42D22" w:rsidRDefault="005C6D29" w:rsidP="00724FEF">
      <w:pPr>
        <w:spacing w:before="240" w:after="240"/>
        <w:jc w:val="both"/>
        <w:rPr>
          <w:rFonts w:ascii="Calibri" w:eastAsia="Calibri" w:hAnsi="Calibri" w:cs="Calibri"/>
        </w:rPr>
      </w:pPr>
      <w:r>
        <w:rPr>
          <w:rFonts w:ascii="Calibri" w:eastAsia="Calibri" w:hAnsi="Calibri" w:cs="Calibri"/>
        </w:rPr>
        <w:t xml:space="preserve">De </w:t>
      </w:r>
      <w:r w:rsidR="00732586">
        <w:rPr>
          <w:rFonts w:ascii="Calibri" w:eastAsia="Calibri" w:hAnsi="Calibri" w:cs="Calibri"/>
        </w:rPr>
        <w:t>VN</w:t>
      </w:r>
      <w:r w:rsidR="00AC3A86">
        <w:rPr>
          <w:rFonts w:ascii="Calibri" w:eastAsia="Calibri" w:hAnsi="Calibri" w:cs="Calibri"/>
        </w:rPr>
        <w:t>-</w:t>
      </w:r>
      <w:r w:rsidR="00732586">
        <w:rPr>
          <w:rFonts w:ascii="Calibri" w:eastAsia="Calibri" w:hAnsi="Calibri" w:cs="Calibri"/>
        </w:rPr>
        <w:t xml:space="preserve">commissie </w:t>
      </w:r>
      <w:r w:rsidR="00732586" w:rsidRPr="00732586">
        <w:rPr>
          <w:rFonts w:ascii="Calibri" w:eastAsia="Calibri" w:hAnsi="Calibri" w:cs="Calibri"/>
        </w:rPr>
        <w:t xml:space="preserve">Independent International </w:t>
      </w:r>
      <w:proofErr w:type="spellStart"/>
      <w:r w:rsidR="00732586" w:rsidRPr="00732586">
        <w:rPr>
          <w:rFonts w:ascii="Calibri" w:eastAsia="Calibri" w:hAnsi="Calibri" w:cs="Calibri"/>
        </w:rPr>
        <w:t>Commission</w:t>
      </w:r>
      <w:proofErr w:type="spellEnd"/>
      <w:r w:rsidR="00732586" w:rsidRPr="00732586">
        <w:rPr>
          <w:rFonts w:ascii="Calibri" w:eastAsia="Calibri" w:hAnsi="Calibri" w:cs="Calibri"/>
        </w:rPr>
        <w:t xml:space="preserve"> of </w:t>
      </w:r>
      <w:proofErr w:type="spellStart"/>
      <w:r w:rsidR="00732586" w:rsidRPr="00732586">
        <w:rPr>
          <w:rFonts w:ascii="Calibri" w:eastAsia="Calibri" w:hAnsi="Calibri" w:cs="Calibri"/>
        </w:rPr>
        <w:t>Inquiry</w:t>
      </w:r>
      <w:proofErr w:type="spellEnd"/>
      <w:r w:rsidR="00732586" w:rsidRPr="00732586">
        <w:rPr>
          <w:rFonts w:ascii="Calibri" w:eastAsia="Calibri" w:hAnsi="Calibri" w:cs="Calibri"/>
        </w:rPr>
        <w:t xml:space="preserve"> on Ukraine</w:t>
      </w:r>
      <w:r w:rsidR="00AC3A86">
        <w:rPr>
          <w:rFonts w:ascii="Calibri" w:eastAsia="Calibri" w:hAnsi="Calibri" w:cs="Calibri"/>
        </w:rPr>
        <w:t xml:space="preserve"> heeft </w:t>
      </w:r>
      <w:r w:rsidR="001C6346">
        <w:rPr>
          <w:rFonts w:ascii="Calibri" w:eastAsia="Calibri" w:hAnsi="Calibri" w:cs="Calibri"/>
        </w:rPr>
        <w:t>ge</w:t>
      </w:r>
      <w:r w:rsidR="00CA7C38">
        <w:rPr>
          <w:rFonts w:ascii="Calibri" w:eastAsia="Calibri" w:hAnsi="Calibri" w:cs="Calibri"/>
        </w:rPr>
        <w:t xml:space="preserve">rapporteerd op 15 maart 2023 dat het </w:t>
      </w:r>
      <w:r w:rsidR="00C42D22">
        <w:rPr>
          <w:rFonts w:ascii="Calibri" w:eastAsia="Calibri" w:hAnsi="Calibri" w:cs="Calibri"/>
        </w:rPr>
        <w:t xml:space="preserve">meerdere </w:t>
      </w:r>
      <w:r w:rsidR="00CA7C38">
        <w:rPr>
          <w:rFonts w:ascii="Calibri" w:eastAsia="Calibri" w:hAnsi="Calibri" w:cs="Calibri"/>
        </w:rPr>
        <w:t>aanvallen</w:t>
      </w:r>
      <w:r w:rsidR="00C42D22">
        <w:rPr>
          <w:rFonts w:ascii="Calibri" w:eastAsia="Calibri" w:hAnsi="Calibri" w:cs="Calibri"/>
        </w:rPr>
        <w:t xml:space="preserve"> </w:t>
      </w:r>
      <w:r w:rsidR="00CA7C38">
        <w:rPr>
          <w:rFonts w:ascii="Calibri" w:eastAsia="Calibri" w:hAnsi="Calibri" w:cs="Calibri"/>
        </w:rPr>
        <w:t xml:space="preserve">heeft </w:t>
      </w:r>
      <w:r w:rsidR="00C42D22">
        <w:rPr>
          <w:rFonts w:ascii="Calibri" w:eastAsia="Calibri" w:hAnsi="Calibri" w:cs="Calibri"/>
        </w:rPr>
        <w:t xml:space="preserve">onderzocht </w:t>
      </w:r>
      <w:r w:rsidR="00CA7C38">
        <w:rPr>
          <w:rFonts w:ascii="Calibri" w:eastAsia="Calibri" w:hAnsi="Calibri" w:cs="Calibri"/>
        </w:rPr>
        <w:t xml:space="preserve">waarbij Oekraïne </w:t>
      </w:r>
      <w:r w:rsidR="00C42D22">
        <w:rPr>
          <w:rFonts w:ascii="Calibri" w:eastAsia="Calibri" w:hAnsi="Calibri" w:cs="Calibri"/>
        </w:rPr>
        <w:t xml:space="preserve">gebruik </w:t>
      </w:r>
      <w:r w:rsidR="00CA7C38">
        <w:rPr>
          <w:rFonts w:ascii="Calibri" w:eastAsia="Calibri" w:hAnsi="Calibri" w:cs="Calibri"/>
        </w:rPr>
        <w:t>heeft gemaakt van</w:t>
      </w:r>
      <w:r w:rsidR="00C42D22">
        <w:rPr>
          <w:rFonts w:ascii="Calibri" w:eastAsia="Calibri" w:hAnsi="Calibri" w:cs="Calibri"/>
        </w:rPr>
        <w:t xml:space="preserve"> clustermunitie:</w:t>
      </w:r>
    </w:p>
    <w:p w14:paraId="7793EA84" w14:textId="1DB6C17C" w:rsidR="005C6D29" w:rsidRPr="00C92AF8" w:rsidRDefault="005C6D29" w:rsidP="00724FEF">
      <w:pPr>
        <w:spacing w:before="240" w:after="240"/>
        <w:ind w:left="708"/>
        <w:jc w:val="both"/>
        <w:rPr>
          <w:rFonts w:ascii="Calibri" w:eastAsia="Calibri" w:hAnsi="Calibri" w:cs="Calibri"/>
          <w:lang w:val="en-US"/>
        </w:rPr>
      </w:pPr>
      <w:r w:rsidRPr="00C92AF8">
        <w:rPr>
          <w:rFonts w:ascii="Calibri" w:eastAsia="Calibri" w:hAnsi="Calibri" w:cs="Calibri"/>
          <w:lang w:val="en-US"/>
        </w:rPr>
        <w:t xml:space="preserve">“The Commission has found instances where Ukrainian armed forces likely used cluster munitions and rocket-delivered antipersonnel landmines to carry out attacks in Izium city, </w:t>
      </w:r>
      <w:r w:rsidRPr="00C92AF8">
        <w:rPr>
          <w:rFonts w:ascii="Calibri" w:eastAsia="Calibri" w:hAnsi="Calibri" w:cs="Calibri"/>
          <w:lang w:val="en-US"/>
        </w:rPr>
        <w:lastRenderedPageBreak/>
        <w:t>Kharkiv region, from March to September 2022, when it was controlled by Russian armed forces.”</w:t>
      </w:r>
      <w:r>
        <w:rPr>
          <w:rStyle w:val="Voetnootmarkering"/>
          <w:rFonts w:ascii="Calibri" w:eastAsia="Calibri" w:hAnsi="Calibri"/>
        </w:rPr>
        <w:footnoteReference w:id="10"/>
      </w:r>
    </w:p>
    <w:p w14:paraId="7E2D80D2" w14:textId="42395464" w:rsidR="00D576C7" w:rsidRDefault="00D576C7" w:rsidP="00724FEF">
      <w:pPr>
        <w:spacing w:before="240" w:after="240"/>
        <w:jc w:val="both"/>
        <w:rPr>
          <w:rFonts w:ascii="Calibri" w:eastAsia="Calibri" w:hAnsi="Calibri" w:cs="Calibri"/>
        </w:rPr>
      </w:pPr>
      <w:r>
        <w:rPr>
          <w:rFonts w:ascii="Calibri" w:eastAsia="Calibri" w:hAnsi="Calibri" w:cs="Calibri"/>
        </w:rPr>
        <w:t xml:space="preserve">De commissie </w:t>
      </w:r>
      <w:r w:rsidR="00B96F08">
        <w:rPr>
          <w:rFonts w:ascii="Calibri" w:eastAsia="Calibri" w:hAnsi="Calibri" w:cs="Calibri"/>
        </w:rPr>
        <w:t xml:space="preserve">acht het waarschijnlijk dat Oekraïne </w:t>
      </w:r>
      <w:r w:rsidR="009A1172">
        <w:rPr>
          <w:rFonts w:ascii="Calibri" w:eastAsia="Calibri" w:hAnsi="Calibri" w:cs="Calibri"/>
        </w:rPr>
        <w:t>middels het gebruik van clustermunitie niet</w:t>
      </w:r>
      <w:r w:rsidR="00741D2F">
        <w:rPr>
          <w:rFonts w:ascii="Calibri" w:eastAsia="Calibri" w:hAnsi="Calibri" w:cs="Calibri"/>
        </w:rPr>
        <w:t>-</w:t>
      </w:r>
      <w:r w:rsidR="009A1172">
        <w:rPr>
          <w:rFonts w:ascii="Calibri" w:eastAsia="Calibri" w:hAnsi="Calibri" w:cs="Calibri"/>
        </w:rPr>
        <w:t>onderscheidende aanvallen heeft gepleegd in strijd met het internationaal humanitair recht.</w:t>
      </w:r>
      <w:r w:rsidR="009A1172">
        <w:rPr>
          <w:rStyle w:val="Voetnootmarkering"/>
          <w:rFonts w:ascii="Calibri" w:eastAsia="Calibri" w:hAnsi="Calibri"/>
        </w:rPr>
        <w:footnoteReference w:id="11"/>
      </w:r>
    </w:p>
    <w:p w14:paraId="50750FCD" w14:textId="6B9DC38C" w:rsidR="00C65E1B" w:rsidRDefault="004F4B11" w:rsidP="00724FEF">
      <w:pPr>
        <w:spacing w:before="240" w:after="240"/>
        <w:jc w:val="both"/>
        <w:rPr>
          <w:rFonts w:ascii="Calibri" w:eastAsia="Calibri" w:hAnsi="Calibri" w:cs="Calibri"/>
        </w:rPr>
      </w:pPr>
      <w:r w:rsidRPr="00494E8D">
        <w:rPr>
          <w:rFonts w:ascii="Calibri" w:eastAsia="Calibri" w:hAnsi="Calibri" w:cs="Calibri"/>
        </w:rPr>
        <w:t xml:space="preserve">Human </w:t>
      </w:r>
      <w:proofErr w:type="spellStart"/>
      <w:r w:rsidRPr="00494E8D">
        <w:rPr>
          <w:rFonts w:ascii="Calibri" w:eastAsia="Calibri" w:hAnsi="Calibri" w:cs="Calibri"/>
        </w:rPr>
        <w:t>Rights</w:t>
      </w:r>
      <w:proofErr w:type="spellEnd"/>
      <w:r w:rsidRPr="00494E8D">
        <w:rPr>
          <w:rFonts w:ascii="Calibri" w:eastAsia="Calibri" w:hAnsi="Calibri" w:cs="Calibri"/>
        </w:rPr>
        <w:t xml:space="preserve"> Watch rapporteerde </w:t>
      </w:r>
      <w:r>
        <w:rPr>
          <w:rFonts w:ascii="Calibri" w:eastAsia="Calibri" w:hAnsi="Calibri" w:cs="Calibri"/>
        </w:rPr>
        <w:t xml:space="preserve">in </w:t>
      </w:r>
      <w:r w:rsidR="00CA7C38">
        <w:rPr>
          <w:rFonts w:ascii="Calibri" w:eastAsia="Calibri" w:hAnsi="Calibri" w:cs="Calibri"/>
        </w:rPr>
        <w:t xml:space="preserve">juli </w:t>
      </w:r>
      <w:r>
        <w:rPr>
          <w:rFonts w:ascii="Calibri" w:eastAsia="Calibri" w:hAnsi="Calibri" w:cs="Calibri"/>
        </w:rPr>
        <w:t>2023</w:t>
      </w:r>
      <w:r w:rsidRPr="00494E8D">
        <w:rPr>
          <w:rFonts w:ascii="Calibri" w:eastAsia="Calibri" w:hAnsi="Calibri" w:cs="Calibri"/>
        </w:rPr>
        <w:t xml:space="preserve"> dat Oekraïense strijdmachten clustermunitie gebruiken en Oekraïne daarmee </w:t>
      </w:r>
      <w:r w:rsidR="007D7AE1">
        <w:rPr>
          <w:rFonts w:ascii="Calibri" w:eastAsia="Calibri" w:hAnsi="Calibri" w:cs="Calibri"/>
        </w:rPr>
        <w:t xml:space="preserve">meerdere </w:t>
      </w:r>
      <w:r w:rsidRPr="00494E8D">
        <w:rPr>
          <w:rFonts w:ascii="Calibri" w:eastAsia="Calibri" w:hAnsi="Calibri" w:cs="Calibri"/>
        </w:rPr>
        <w:t>doden en ernstige verwondingen bij burgers heeft veroorzaakt.</w:t>
      </w:r>
      <w:r w:rsidRPr="00494E8D">
        <w:rPr>
          <w:rStyle w:val="Voetnootmarkering"/>
          <w:rFonts w:ascii="Calibri" w:eastAsia="Calibri" w:hAnsi="Calibri" w:cs="Calibri"/>
        </w:rPr>
        <w:footnoteReference w:id="12"/>
      </w:r>
      <w:r w:rsidR="00C65E1B">
        <w:rPr>
          <w:rFonts w:ascii="Calibri" w:hAnsi="Calibri" w:cs="Calibri"/>
        </w:rPr>
        <w:t xml:space="preserve"> </w:t>
      </w:r>
      <w:r w:rsidR="007D7AE1">
        <w:rPr>
          <w:rFonts w:ascii="Calibri" w:hAnsi="Calibri" w:cs="Calibri"/>
        </w:rPr>
        <w:t>I</w:t>
      </w:r>
      <w:r w:rsidR="00C65E1B">
        <w:rPr>
          <w:rFonts w:ascii="Calibri" w:hAnsi="Calibri" w:cs="Calibri"/>
        </w:rPr>
        <w:t xml:space="preserve">n en rondom de stad </w:t>
      </w:r>
      <w:proofErr w:type="spellStart"/>
      <w:r w:rsidR="00E02D7D">
        <w:rPr>
          <w:rFonts w:ascii="Calibri" w:hAnsi="Calibri" w:cs="Calibri"/>
        </w:rPr>
        <w:t>I</w:t>
      </w:r>
      <w:r w:rsidR="00C65E1B">
        <w:rPr>
          <w:rFonts w:ascii="Calibri" w:hAnsi="Calibri" w:cs="Calibri"/>
        </w:rPr>
        <w:t>zium</w:t>
      </w:r>
      <w:proofErr w:type="spellEnd"/>
      <w:r w:rsidR="00C65E1B">
        <w:rPr>
          <w:rFonts w:ascii="Calibri" w:hAnsi="Calibri" w:cs="Calibri"/>
        </w:rPr>
        <w:t xml:space="preserve"> stelde HRW vast dat het gebruik van clustermunitie door Oekraïne </w:t>
      </w:r>
      <w:r w:rsidR="00711750">
        <w:rPr>
          <w:rFonts w:ascii="Calibri" w:hAnsi="Calibri" w:cs="Calibri"/>
        </w:rPr>
        <w:t>in 2022 heeft geleid tot 8 burgerdoden en</w:t>
      </w:r>
      <w:r w:rsidR="00D74B2A">
        <w:rPr>
          <w:rFonts w:ascii="Calibri" w:hAnsi="Calibri" w:cs="Calibri"/>
        </w:rPr>
        <w:t xml:space="preserve"> 15 gewonden</w:t>
      </w:r>
      <w:r w:rsidR="00C65E1B">
        <w:rPr>
          <w:rFonts w:ascii="Calibri" w:hAnsi="Calibri" w:cs="Calibri"/>
        </w:rPr>
        <w:t>.</w:t>
      </w:r>
      <w:r w:rsidR="00C65E1B">
        <w:rPr>
          <w:rStyle w:val="Voetnootmarkering"/>
          <w:rFonts w:ascii="Calibri" w:hAnsi="Calibri" w:cs="Calibri"/>
        </w:rPr>
        <w:footnoteReference w:id="13"/>
      </w:r>
      <w:r w:rsidR="005B51D9">
        <w:rPr>
          <w:rFonts w:ascii="Calibri" w:hAnsi="Calibri" w:cs="Calibri"/>
        </w:rPr>
        <w:t xml:space="preserve"> </w:t>
      </w:r>
    </w:p>
    <w:p w14:paraId="33631E1E" w14:textId="2D5ADB5C" w:rsidR="00950E1C" w:rsidRDefault="00950E1C" w:rsidP="00724FEF">
      <w:pPr>
        <w:spacing w:line="276" w:lineRule="auto"/>
        <w:jc w:val="both"/>
        <w:rPr>
          <w:rFonts w:ascii="Calibri" w:hAnsi="Calibri" w:cs="Calibri"/>
        </w:rPr>
      </w:pPr>
      <w:r>
        <w:rPr>
          <w:rFonts w:ascii="Calibri" w:hAnsi="Calibri" w:cs="Calibri"/>
        </w:rPr>
        <w:t xml:space="preserve">Oekraïne heeft </w:t>
      </w:r>
      <w:r w:rsidR="00246A74">
        <w:rPr>
          <w:rFonts w:ascii="Calibri" w:hAnsi="Calibri" w:cs="Calibri"/>
        </w:rPr>
        <w:t xml:space="preserve">ook </w:t>
      </w:r>
      <w:r>
        <w:rPr>
          <w:rFonts w:ascii="Calibri" w:hAnsi="Calibri" w:cs="Calibri"/>
        </w:rPr>
        <w:t xml:space="preserve">in eerdere conflicten clustermunitie gebruikt. </w:t>
      </w:r>
      <w:r w:rsidRPr="0014495A">
        <w:rPr>
          <w:rFonts w:ascii="Calibri" w:hAnsi="Calibri" w:cs="Calibri"/>
        </w:rPr>
        <w:t>HR</w:t>
      </w:r>
      <w:r>
        <w:rPr>
          <w:rFonts w:ascii="Calibri" w:hAnsi="Calibri" w:cs="Calibri"/>
        </w:rPr>
        <w:t>W</w:t>
      </w:r>
      <w:r w:rsidRPr="0014495A">
        <w:rPr>
          <w:rFonts w:ascii="Calibri" w:hAnsi="Calibri" w:cs="Calibri"/>
        </w:rPr>
        <w:t xml:space="preserve"> </w:t>
      </w:r>
      <w:r>
        <w:rPr>
          <w:rFonts w:ascii="Calibri" w:hAnsi="Calibri" w:cs="Calibri"/>
        </w:rPr>
        <w:t>heeft vastgesteld</w:t>
      </w:r>
      <w:r w:rsidRPr="0014495A">
        <w:rPr>
          <w:rFonts w:ascii="Calibri" w:hAnsi="Calibri" w:cs="Calibri"/>
        </w:rPr>
        <w:t xml:space="preserve"> dat </w:t>
      </w:r>
      <w:r>
        <w:rPr>
          <w:rFonts w:ascii="Calibri" w:hAnsi="Calibri" w:cs="Calibri"/>
        </w:rPr>
        <w:t>Oekraïense regeringstroepen gebruik hebben gemaakt van clustermunitie in het conflict in Oost-Oekraïne in 2014.</w:t>
      </w:r>
      <w:r>
        <w:rPr>
          <w:rStyle w:val="Voetnootmarkering"/>
          <w:rFonts w:ascii="Calibri" w:hAnsi="Calibri" w:cs="Calibri"/>
        </w:rPr>
        <w:footnoteReference w:id="14"/>
      </w:r>
      <w:r>
        <w:rPr>
          <w:rFonts w:ascii="Calibri" w:hAnsi="Calibri" w:cs="Calibri"/>
        </w:rPr>
        <w:t xml:space="preserve"> De Oekraïense regeringstroepen gebruikten clustermunitie in bewoonde gebieden in </w:t>
      </w:r>
      <w:proofErr w:type="spellStart"/>
      <w:r>
        <w:rPr>
          <w:rFonts w:ascii="Calibri" w:hAnsi="Calibri" w:cs="Calibri"/>
        </w:rPr>
        <w:t>Donetsk</w:t>
      </w:r>
      <w:proofErr w:type="spellEnd"/>
      <w:r>
        <w:rPr>
          <w:rFonts w:ascii="Calibri" w:hAnsi="Calibri" w:cs="Calibri"/>
        </w:rPr>
        <w:t xml:space="preserve"> stad in 2014. In een ander onderzoek in Oost-Oekraïne vond HRW ook bewijs van aanvallen met clustermunitie in zeker 7 dorpen en steden.</w:t>
      </w:r>
      <w:r w:rsidR="00741B0A">
        <w:rPr>
          <w:rStyle w:val="Voetnootmarkering"/>
          <w:rFonts w:ascii="Calibri" w:hAnsi="Calibri"/>
        </w:rPr>
        <w:footnoteReference w:id="15"/>
      </w:r>
      <w:r>
        <w:rPr>
          <w:rFonts w:ascii="Calibri" w:hAnsi="Calibri" w:cs="Calibri"/>
        </w:rPr>
        <w:t xml:space="preserve"> Bij deze aanvallen zijn ook burgerdoden gevallen. </w:t>
      </w:r>
    </w:p>
    <w:p w14:paraId="5522EFA3" w14:textId="77777777" w:rsidR="0001581F" w:rsidRDefault="0001581F" w:rsidP="00724FEF">
      <w:pPr>
        <w:spacing w:before="240" w:after="240"/>
        <w:jc w:val="both"/>
        <w:rPr>
          <w:rFonts w:ascii="Calibri" w:hAnsi="Calibri" w:cs="Calibri"/>
        </w:rPr>
      </w:pPr>
      <w:r>
        <w:rPr>
          <w:rFonts w:ascii="Calibri" w:eastAsia="Calibri" w:hAnsi="Calibri" w:cs="Calibri"/>
        </w:rPr>
        <w:t>P</w:t>
      </w:r>
      <w:r>
        <w:rPr>
          <w:rFonts w:ascii="Calibri" w:hAnsi="Calibri" w:cs="Calibri"/>
        </w:rPr>
        <w:t xml:space="preserve">resident </w:t>
      </w:r>
      <w:proofErr w:type="spellStart"/>
      <w:r>
        <w:rPr>
          <w:rFonts w:ascii="Calibri" w:hAnsi="Calibri" w:cs="Calibri"/>
        </w:rPr>
        <w:t>Biden</w:t>
      </w:r>
      <w:proofErr w:type="spellEnd"/>
      <w:r>
        <w:rPr>
          <w:rFonts w:ascii="Calibri" w:hAnsi="Calibri" w:cs="Calibri"/>
        </w:rPr>
        <w:t xml:space="preserve"> heeft op 7 juni 2023 aangekondigd dat het leveren van clustermunitie aan Oekraïne noodzakelijk was voor de nationale veiligheidsbelangen van de VS en een ongespecificeerde hoeveelheid clustermunitie toegestaan aan Oekraïne.</w:t>
      </w:r>
      <w:r w:rsidRPr="00CF3E4B">
        <w:rPr>
          <w:rStyle w:val="Voetnootmarkering"/>
          <w:rFonts w:ascii="Calibri" w:hAnsi="Calibri" w:cs="Calibri"/>
        </w:rPr>
        <w:t xml:space="preserve"> </w:t>
      </w:r>
      <w:r>
        <w:rPr>
          <w:rStyle w:val="Voetnootmarkering"/>
          <w:rFonts w:ascii="Calibri" w:hAnsi="Calibri" w:cs="Calibri"/>
        </w:rPr>
        <w:footnoteReference w:id="16"/>
      </w:r>
      <w:r>
        <w:rPr>
          <w:rFonts w:ascii="Calibri" w:hAnsi="Calibri" w:cs="Calibri"/>
        </w:rPr>
        <w:t xml:space="preserve"> </w:t>
      </w:r>
    </w:p>
    <w:p w14:paraId="0C369E29" w14:textId="77777777" w:rsidR="004F4B11" w:rsidRPr="003963E6" w:rsidRDefault="004F4B11" w:rsidP="00724FEF">
      <w:pPr>
        <w:jc w:val="both"/>
      </w:pPr>
    </w:p>
    <w:p w14:paraId="111A5AED" w14:textId="77777777" w:rsidR="001C6346" w:rsidRDefault="003963E6" w:rsidP="00724FEF">
      <w:pPr>
        <w:pStyle w:val="Kop2"/>
        <w:jc w:val="both"/>
      </w:pPr>
      <w:bookmarkStart w:id="5" w:name="_Toc185491840"/>
      <w:r w:rsidRPr="003963E6">
        <w:t>F-16</w:t>
      </w:r>
      <w:r w:rsidR="00AA6044">
        <w:t xml:space="preserve">’s zijn geschikt </w:t>
      </w:r>
      <w:r w:rsidR="004A7F97">
        <w:t>om</w:t>
      </w:r>
      <w:r w:rsidRPr="003963E6">
        <w:t xml:space="preserve"> </w:t>
      </w:r>
      <w:r w:rsidRPr="001C6346">
        <w:t>clustermunitie</w:t>
      </w:r>
      <w:r w:rsidRPr="003963E6">
        <w:t xml:space="preserve"> af</w:t>
      </w:r>
      <w:r w:rsidR="004A7F97">
        <w:t xml:space="preserve"> te </w:t>
      </w:r>
      <w:r w:rsidRPr="003963E6">
        <w:t>werpen</w:t>
      </w:r>
      <w:bookmarkEnd w:id="5"/>
      <w:r w:rsidRPr="003963E6">
        <w:t xml:space="preserve"> </w:t>
      </w:r>
    </w:p>
    <w:p w14:paraId="4923FC19" w14:textId="709ADE90" w:rsidR="00EC585C" w:rsidRPr="001C6346" w:rsidRDefault="00E700AD" w:rsidP="00724FEF">
      <w:pPr>
        <w:jc w:val="both"/>
      </w:pPr>
      <w:r>
        <w:t>De Nederlandse F-16’s zijn in staat om clustermunitie af te werpen.</w:t>
      </w:r>
      <w:r w:rsidR="00E241DF">
        <w:rPr>
          <w:rStyle w:val="Voetnootmarkering"/>
        </w:rPr>
        <w:footnoteReference w:id="17"/>
      </w:r>
      <w:r>
        <w:t xml:space="preserve"> </w:t>
      </w:r>
      <w:r w:rsidR="00EA2BC0">
        <w:t>Bijvoorbeeld middels de</w:t>
      </w:r>
      <w:r w:rsidR="003E4856">
        <w:t xml:space="preserve"> zogenoemde </w:t>
      </w:r>
      <w:r w:rsidR="003E4856" w:rsidRPr="00C92AF8">
        <w:t>wind-</w:t>
      </w:r>
      <w:proofErr w:type="spellStart"/>
      <w:r w:rsidR="003E4856" w:rsidRPr="00C92AF8">
        <w:t>corrected</w:t>
      </w:r>
      <w:proofErr w:type="spellEnd"/>
      <w:r w:rsidR="003E4856" w:rsidRPr="00C92AF8">
        <w:t xml:space="preserve"> </w:t>
      </w:r>
      <w:proofErr w:type="spellStart"/>
      <w:r w:rsidR="003E4856" w:rsidRPr="00C92AF8">
        <w:t>munitions</w:t>
      </w:r>
      <w:proofErr w:type="spellEnd"/>
      <w:r w:rsidR="003E4856" w:rsidRPr="00C92AF8">
        <w:t xml:space="preserve"> dispenser (WCMD) kan clustermunitie worden afgeworpen met een F-16.</w:t>
      </w:r>
      <w:r w:rsidR="00CF6D66">
        <w:rPr>
          <w:rStyle w:val="Voetnootmarkering"/>
          <w:rFonts w:ascii="Calibri" w:hAnsi="Calibri" w:cs="Calibri"/>
          <w:lang w:val="en-US"/>
        </w:rPr>
        <w:footnoteReference w:id="18"/>
      </w:r>
      <w:r w:rsidR="00E241DF" w:rsidRPr="00C92AF8">
        <w:t xml:space="preserve"> </w:t>
      </w:r>
    </w:p>
    <w:p w14:paraId="1D040511" w14:textId="7E3ECE2C" w:rsidR="002665A7" w:rsidRPr="00C92AF8" w:rsidRDefault="008147B2" w:rsidP="00724FEF">
      <w:pPr>
        <w:jc w:val="both"/>
        <w:rPr>
          <w:rFonts w:ascii="Calibri" w:hAnsi="Calibri" w:cs="Calibri"/>
        </w:rPr>
      </w:pPr>
      <w:r>
        <w:rPr>
          <w:rFonts w:ascii="Calibri" w:hAnsi="Calibri" w:cs="Calibri"/>
        </w:rPr>
        <w:lastRenderedPageBreak/>
        <w:t>H</w:t>
      </w:r>
      <w:r w:rsidR="00344694" w:rsidRPr="00C92AF8">
        <w:rPr>
          <w:rFonts w:ascii="Calibri" w:hAnsi="Calibri" w:cs="Calibri"/>
        </w:rPr>
        <w:t xml:space="preserve">oe waarschijnlijk het is dat Oekraïne met Nederlandse F-16’s </w:t>
      </w:r>
      <w:r w:rsidR="0022350D" w:rsidRPr="00C92AF8">
        <w:rPr>
          <w:rFonts w:ascii="Calibri" w:hAnsi="Calibri" w:cs="Calibri"/>
        </w:rPr>
        <w:t>clustermunitie zal inzetten</w:t>
      </w:r>
      <w:r>
        <w:rPr>
          <w:rFonts w:ascii="Calibri" w:hAnsi="Calibri" w:cs="Calibri"/>
        </w:rPr>
        <w:t xml:space="preserve">, wordt mede bepaald </w:t>
      </w:r>
      <w:r w:rsidR="003F01F4">
        <w:rPr>
          <w:rFonts w:ascii="Calibri" w:hAnsi="Calibri" w:cs="Calibri"/>
        </w:rPr>
        <w:t>door andere</w:t>
      </w:r>
      <w:r w:rsidR="0022350D" w:rsidRPr="00C92AF8">
        <w:rPr>
          <w:rFonts w:ascii="Calibri" w:hAnsi="Calibri" w:cs="Calibri"/>
        </w:rPr>
        <w:t xml:space="preserve">, niet door Nederland geleverde, wapensystemen </w:t>
      </w:r>
      <w:r w:rsidR="003F01F4">
        <w:rPr>
          <w:rFonts w:ascii="Calibri" w:hAnsi="Calibri" w:cs="Calibri"/>
        </w:rPr>
        <w:t xml:space="preserve">(geschikt voor </w:t>
      </w:r>
      <w:r w:rsidR="003F01F4" w:rsidRPr="00C92AF8">
        <w:rPr>
          <w:rFonts w:ascii="Calibri" w:hAnsi="Calibri" w:cs="Calibri"/>
        </w:rPr>
        <w:t>clustermunitie</w:t>
      </w:r>
      <w:r w:rsidR="003F01F4">
        <w:rPr>
          <w:rFonts w:ascii="Calibri" w:hAnsi="Calibri" w:cs="Calibri"/>
        </w:rPr>
        <w:t>)</w:t>
      </w:r>
      <w:r w:rsidR="003F01F4" w:rsidRPr="00C92AF8">
        <w:rPr>
          <w:rFonts w:ascii="Calibri" w:hAnsi="Calibri" w:cs="Calibri"/>
        </w:rPr>
        <w:t xml:space="preserve"> </w:t>
      </w:r>
      <w:r w:rsidR="003F01F4">
        <w:rPr>
          <w:rFonts w:ascii="Calibri" w:hAnsi="Calibri" w:cs="Calibri"/>
        </w:rPr>
        <w:t xml:space="preserve">waarover </w:t>
      </w:r>
      <w:r w:rsidR="003F01F4" w:rsidRPr="00C92AF8">
        <w:rPr>
          <w:rFonts w:ascii="Calibri" w:hAnsi="Calibri" w:cs="Calibri"/>
        </w:rPr>
        <w:t>Oekraïne</w:t>
      </w:r>
      <w:r w:rsidR="0022350D" w:rsidRPr="00C92AF8">
        <w:rPr>
          <w:rFonts w:ascii="Calibri" w:hAnsi="Calibri" w:cs="Calibri"/>
        </w:rPr>
        <w:t xml:space="preserve"> beschikt</w:t>
      </w:r>
      <w:r w:rsidR="003E1962" w:rsidRPr="00C92AF8">
        <w:rPr>
          <w:rFonts w:ascii="Calibri" w:hAnsi="Calibri" w:cs="Calibri"/>
        </w:rPr>
        <w:t xml:space="preserve">. </w:t>
      </w:r>
      <w:r w:rsidR="0014664A">
        <w:rPr>
          <w:rFonts w:ascii="Calibri" w:hAnsi="Calibri" w:cs="Calibri"/>
        </w:rPr>
        <w:t xml:space="preserve">Feit is </w:t>
      </w:r>
      <w:r w:rsidR="003E1962" w:rsidRPr="00C92AF8">
        <w:rPr>
          <w:rFonts w:ascii="Calibri" w:hAnsi="Calibri" w:cs="Calibri"/>
        </w:rPr>
        <w:t>dat Oekraïne al clustermunitie heeft ingezet v</w:t>
      </w:r>
      <w:r w:rsidR="0014664A">
        <w:rPr>
          <w:rFonts w:ascii="Calibri" w:hAnsi="Calibri" w:cs="Calibri"/>
        </w:rPr>
        <w:t>óó</w:t>
      </w:r>
      <w:r w:rsidR="003E1962" w:rsidRPr="00C92AF8">
        <w:rPr>
          <w:rFonts w:ascii="Calibri" w:hAnsi="Calibri" w:cs="Calibri"/>
        </w:rPr>
        <w:t>rdat het over F-16’s beschikte</w:t>
      </w:r>
      <w:r w:rsidR="00977AD5" w:rsidRPr="00C92AF8">
        <w:rPr>
          <w:rFonts w:ascii="Calibri" w:hAnsi="Calibri" w:cs="Calibri"/>
        </w:rPr>
        <w:t xml:space="preserve">. </w:t>
      </w:r>
    </w:p>
    <w:p w14:paraId="74CA2B59" w14:textId="23F80484" w:rsidR="005B6379" w:rsidRPr="00F20D3D" w:rsidRDefault="005B6379" w:rsidP="00724FEF">
      <w:pPr>
        <w:spacing w:before="240" w:after="240"/>
        <w:jc w:val="both"/>
        <w:rPr>
          <w:rFonts w:ascii="Calibri" w:eastAsia="Calibri" w:hAnsi="Calibri" w:cs="Calibri"/>
        </w:rPr>
      </w:pPr>
      <w:r>
        <w:rPr>
          <w:rFonts w:ascii="Calibri" w:eastAsia="Calibri" w:hAnsi="Calibri" w:cs="Calibri"/>
        </w:rPr>
        <w:t>De Staat heeft dit expliciet betrokken in zijn afweging om F-16’s te leveren aan Oekraïne. D</w:t>
      </w:r>
      <w:r w:rsidRPr="00F20D3D">
        <w:rPr>
          <w:rFonts w:ascii="Calibri" w:eastAsia="Calibri" w:hAnsi="Calibri" w:cs="Calibri"/>
        </w:rPr>
        <w:t xml:space="preserve">e minister van Buitenlandse Zaken </w:t>
      </w:r>
      <w:r>
        <w:rPr>
          <w:rFonts w:ascii="Calibri" w:eastAsia="Calibri" w:hAnsi="Calibri" w:cs="Calibri"/>
        </w:rPr>
        <w:t xml:space="preserve">schreef </w:t>
      </w:r>
      <w:r w:rsidRPr="00F20D3D">
        <w:rPr>
          <w:rFonts w:ascii="Calibri" w:eastAsia="Calibri" w:hAnsi="Calibri" w:cs="Calibri"/>
        </w:rPr>
        <w:t xml:space="preserve">op 14 november 2024: </w:t>
      </w:r>
    </w:p>
    <w:p w14:paraId="0AEDEA13" w14:textId="43A97903" w:rsidR="005B6379" w:rsidRPr="00F20D3D" w:rsidRDefault="005B6379" w:rsidP="00724FEF">
      <w:pPr>
        <w:spacing w:before="240" w:after="240"/>
        <w:ind w:left="708"/>
        <w:jc w:val="both"/>
        <w:rPr>
          <w:rFonts w:ascii="Calibri" w:eastAsia="Calibri" w:hAnsi="Calibri" w:cs="Calibri"/>
        </w:rPr>
      </w:pPr>
      <w:r w:rsidRPr="00F20D3D">
        <w:rPr>
          <w:rFonts w:ascii="Calibri" w:eastAsia="Calibri" w:hAnsi="Calibri" w:cs="Calibri"/>
        </w:rPr>
        <w:t xml:space="preserve">“In de afweging die ten grondslag ligt aan een Nederlands besluit tot levering, wordt meegewogen dat </w:t>
      </w:r>
      <w:r w:rsidRPr="00FA4B77">
        <w:rPr>
          <w:rFonts w:ascii="Calibri" w:eastAsia="Calibri" w:hAnsi="Calibri" w:cs="Calibri"/>
          <w:u w:val="single"/>
        </w:rPr>
        <w:t>allerminst vaststaat</w:t>
      </w:r>
      <w:r w:rsidRPr="00F20D3D">
        <w:rPr>
          <w:rFonts w:ascii="Calibri" w:eastAsia="Calibri" w:hAnsi="Calibri" w:cs="Calibri"/>
        </w:rPr>
        <w:t xml:space="preserve"> dat door Nederland te leveren wapensystemen zullen worden ingezet voor het afwerpen of afschieten van clustermunitie. Immers, ook vele andere soorten munitie kunnen met deze wapensystemen worden afgevuurd.”</w:t>
      </w:r>
      <w:r w:rsidRPr="00F20D3D">
        <w:rPr>
          <w:rStyle w:val="Voetnootmarkering"/>
          <w:rFonts w:ascii="Calibri" w:eastAsia="Calibri" w:hAnsi="Calibri" w:cs="Calibri"/>
        </w:rPr>
        <w:footnoteReference w:id="19"/>
      </w:r>
      <w:r w:rsidR="00FA4B77">
        <w:rPr>
          <w:rFonts w:ascii="Calibri" w:eastAsia="Calibri" w:hAnsi="Calibri" w:cs="Calibri"/>
        </w:rPr>
        <w:t xml:space="preserve"> [onderstreping toegevoegd]</w:t>
      </w:r>
    </w:p>
    <w:p w14:paraId="032AEEA9" w14:textId="77777777" w:rsidR="004A7F97" w:rsidRPr="003963E6" w:rsidRDefault="004A7F97" w:rsidP="00724FEF">
      <w:pPr>
        <w:jc w:val="both"/>
      </w:pPr>
    </w:p>
    <w:p w14:paraId="20DDF337" w14:textId="70E605F3" w:rsidR="00C4728C" w:rsidRDefault="004A7F97" w:rsidP="00724FEF">
      <w:pPr>
        <w:pStyle w:val="Kop2"/>
        <w:jc w:val="both"/>
      </w:pPr>
      <w:bookmarkStart w:id="6" w:name="_Toc185491841"/>
      <w:r>
        <w:t xml:space="preserve">Wetenschap bij </w:t>
      </w:r>
      <w:r w:rsidR="003963E6" w:rsidRPr="003963E6">
        <w:t xml:space="preserve">Nederland over het gebruik van clustermunitie </w:t>
      </w:r>
      <w:r>
        <w:t>door Oekraïne</w:t>
      </w:r>
      <w:bookmarkEnd w:id="6"/>
    </w:p>
    <w:p w14:paraId="248B49B6" w14:textId="6D514645" w:rsidR="00943E19" w:rsidRDefault="00712EA0" w:rsidP="00724FEF">
      <w:pPr>
        <w:spacing w:before="240" w:after="240"/>
        <w:jc w:val="both"/>
        <w:rPr>
          <w:rFonts w:ascii="Calibri" w:hAnsi="Calibri" w:cs="Calibri"/>
        </w:rPr>
      </w:pPr>
      <w:r>
        <w:rPr>
          <w:rFonts w:ascii="Calibri" w:eastAsia="Calibri" w:hAnsi="Calibri" w:cs="Calibri"/>
        </w:rPr>
        <w:t>Veronderstel</w:t>
      </w:r>
      <w:r w:rsidR="00CF710B">
        <w:rPr>
          <w:rFonts w:ascii="Calibri" w:eastAsia="Calibri" w:hAnsi="Calibri" w:cs="Calibri"/>
        </w:rPr>
        <w:t>d</w:t>
      </w:r>
      <w:r w:rsidR="007C6F62">
        <w:rPr>
          <w:rFonts w:ascii="Calibri" w:eastAsia="Calibri" w:hAnsi="Calibri" w:cs="Calibri"/>
        </w:rPr>
        <w:t xml:space="preserve"> </w:t>
      </w:r>
      <w:r>
        <w:rPr>
          <w:rFonts w:ascii="Calibri" w:eastAsia="Calibri" w:hAnsi="Calibri" w:cs="Calibri"/>
        </w:rPr>
        <w:t>moet worden d</w:t>
      </w:r>
      <w:r w:rsidR="0001581F">
        <w:rPr>
          <w:rFonts w:ascii="Calibri" w:eastAsia="Calibri" w:hAnsi="Calibri" w:cs="Calibri"/>
        </w:rPr>
        <w:t xml:space="preserve">at Nederland </w:t>
      </w:r>
      <w:r w:rsidR="007C6F62">
        <w:rPr>
          <w:rFonts w:ascii="Calibri" w:eastAsia="Calibri" w:hAnsi="Calibri" w:cs="Calibri"/>
        </w:rPr>
        <w:t xml:space="preserve">op de hoogte </w:t>
      </w:r>
      <w:r w:rsidR="0001581F">
        <w:rPr>
          <w:rFonts w:ascii="Calibri" w:eastAsia="Calibri" w:hAnsi="Calibri" w:cs="Calibri"/>
        </w:rPr>
        <w:t xml:space="preserve">is </w:t>
      </w:r>
      <w:r w:rsidR="007C6F62">
        <w:rPr>
          <w:rFonts w:ascii="Calibri" w:eastAsia="Calibri" w:hAnsi="Calibri" w:cs="Calibri"/>
        </w:rPr>
        <w:t>van h</w:t>
      </w:r>
      <w:r w:rsidR="00177C9A">
        <w:rPr>
          <w:rFonts w:ascii="Calibri" w:eastAsia="Calibri" w:hAnsi="Calibri" w:cs="Calibri"/>
        </w:rPr>
        <w:t>e</w:t>
      </w:r>
      <w:r w:rsidR="007C6F62">
        <w:rPr>
          <w:rFonts w:ascii="Calibri" w:eastAsia="Calibri" w:hAnsi="Calibri" w:cs="Calibri"/>
        </w:rPr>
        <w:t>t gebruik door Oe</w:t>
      </w:r>
      <w:r w:rsidR="00177C9A">
        <w:rPr>
          <w:rFonts w:ascii="Calibri" w:eastAsia="Calibri" w:hAnsi="Calibri" w:cs="Calibri"/>
        </w:rPr>
        <w:t>kraïne van clustermunitie</w:t>
      </w:r>
      <w:r w:rsidR="0001581F">
        <w:rPr>
          <w:rFonts w:ascii="Calibri" w:eastAsia="Calibri" w:hAnsi="Calibri" w:cs="Calibri"/>
        </w:rPr>
        <w:t xml:space="preserve"> gezien de internationale rapportages hierover</w:t>
      </w:r>
      <w:r w:rsidR="00177C9A">
        <w:rPr>
          <w:rFonts w:ascii="Calibri" w:eastAsia="Calibri" w:hAnsi="Calibri" w:cs="Calibri"/>
        </w:rPr>
        <w:t xml:space="preserve">. </w:t>
      </w:r>
      <w:r w:rsidR="00943E19">
        <w:rPr>
          <w:rFonts w:ascii="Calibri" w:eastAsia="Calibri" w:hAnsi="Calibri" w:cs="Calibri"/>
        </w:rPr>
        <w:t>Nederland weet ook dat Oekraïne beschikt over clustermunitie</w:t>
      </w:r>
      <w:r w:rsidR="00CB4F70">
        <w:rPr>
          <w:rFonts w:ascii="Calibri" w:eastAsia="Calibri" w:hAnsi="Calibri" w:cs="Calibri"/>
        </w:rPr>
        <w:t xml:space="preserve"> gezien de leveringen van de VS</w:t>
      </w:r>
      <w:r w:rsidR="00CF710B">
        <w:rPr>
          <w:rFonts w:ascii="Calibri" w:eastAsia="Calibri" w:hAnsi="Calibri" w:cs="Calibri"/>
        </w:rPr>
        <w:t xml:space="preserve">. Daarnaast weet Nederland </w:t>
      </w:r>
      <w:r w:rsidR="00BA6059">
        <w:rPr>
          <w:rFonts w:ascii="Calibri" w:eastAsia="Calibri" w:hAnsi="Calibri" w:cs="Calibri"/>
        </w:rPr>
        <w:t xml:space="preserve">dat de F-16’s geschikt zijn om clustermunitie af te werpen. </w:t>
      </w:r>
      <w:r w:rsidR="00943E19">
        <w:rPr>
          <w:rFonts w:ascii="Calibri" w:eastAsia="Calibri" w:hAnsi="Calibri" w:cs="Calibri"/>
        </w:rPr>
        <w:t xml:space="preserve"> </w:t>
      </w:r>
    </w:p>
    <w:p w14:paraId="3DA24D1C" w14:textId="32F24BA4" w:rsidR="00F822DB" w:rsidRDefault="008126DC" w:rsidP="00724FEF">
      <w:pPr>
        <w:spacing w:line="276" w:lineRule="auto"/>
        <w:jc w:val="both"/>
        <w:rPr>
          <w:rFonts w:ascii="Calibri" w:hAnsi="Calibri" w:cs="Calibri"/>
        </w:rPr>
      </w:pPr>
      <w:r>
        <w:rPr>
          <w:rFonts w:ascii="Calibri" w:hAnsi="Calibri" w:cs="Calibri"/>
        </w:rPr>
        <w:t xml:space="preserve">De Minister van Buitenlandse Zaken </w:t>
      </w:r>
      <w:r w:rsidR="00C80335">
        <w:rPr>
          <w:rFonts w:ascii="Calibri" w:hAnsi="Calibri" w:cs="Calibri"/>
        </w:rPr>
        <w:t>stel</w:t>
      </w:r>
      <w:r>
        <w:rPr>
          <w:rFonts w:ascii="Calibri" w:hAnsi="Calibri" w:cs="Calibri"/>
        </w:rPr>
        <w:t xml:space="preserve">de op </w:t>
      </w:r>
      <w:r w:rsidRPr="008126DC">
        <w:rPr>
          <w:rFonts w:ascii="Calibri" w:hAnsi="Calibri" w:cs="Calibri"/>
        </w:rPr>
        <w:t>14 november 2024</w:t>
      </w:r>
      <w:r>
        <w:rPr>
          <w:rFonts w:ascii="Calibri" w:hAnsi="Calibri" w:cs="Calibri"/>
        </w:rPr>
        <w:t xml:space="preserve"> echter</w:t>
      </w:r>
      <w:r w:rsidR="00F822DB">
        <w:rPr>
          <w:rFonts w:ascii="Calibri" w:hAnsi="Calibri" w:cs="Calibri"/>
        </w:rPr>
        <w:t>:</w:t>
      </w:r>
    </w:p>
    <w:p w14:paraId="2580AD8F" w14:textId="1674F0B5" w:rsidR="00C80335" w:rsidRDefault="00C80335" w:rsidP="00724FEF">
      <w:pPr>
        <w:spacing w:line="276" w:lineRule="auto"/>
        <w:ind w:left="708"/>
        <w:jc w:val="both"/>
        <w:rPr>
          <w:rFonts w:ascii="Calibri" w:hAnsi="Calibri" w:cs="Calibri"/>
        </w:rPr>
      </w:pPr>
      <w:r>
        <w:rPr>
          <w:rFonts w:ascii="Calibri" w:hAnsi="Calibri" w:cs="Calibri"/>
        </w:rPr>
        <w:t>“</w:t>
      </w:r>
      <w:r w:rsidRPr="00C80335">
        <w:rPr>
          <w:rFonts w:ascii="Calibri" w:hAnsi="Calibri" w:cs="Calibri"/>
        </w:rPr>
        <w:t>Op dit moment beschikt het kabinet niet over informatie over het gebruik</w:t>
      </w:r>
      <w:r>
        <w:rPr>
          <w:rFonts w:ascii="Calibri" w:hAnsi="Calibri" w:cs="Calibri"/>
        </w:rPr>
        <w:t xml:space="preserve"> </w:t>
      </w:r>
      <w:r w:rsidRPr="00C80335">
        <w:rPr>
          <w:rFonts w:ascii="Calibri" w:hAnsi="Calibri" w:cs="Calibri"/>
        </w:rPr>
        <w:t>door Oekraïne van door Nederland geleverd materieel voor het afwerpen</w:t>
      </w:r>
      <w:r>
        <w:rPr>
          <w:rFonts w:ascii="Calibri" w:hAnsi="Calibri" w:cs="Calibri"/>
        </w:rPr>
        <w:t xml:space="preserve"> </w:t>
      </w:r>
      <w:r w:rsidRPr="00C80335">
        <w:rPr>
          <w:rFonts w:ascii="Calibri" w:hAnsi="Calibri" w:cs="Calibri"/>
        </w:rPr>
        <w:t>of afschieten van clustermunitie.</w:t>
      </w:r>
      <w:r>
        <w:rPr>
          <w:rFonts w:ascii="Calibri" w:hAnsi="Calibri" w:cs="Calibri"/>
        </w:rPr>
        <w:t>”</w:t>
      </w:r>
      <w:r>
        <w:rPr>
          <w:rStyle w:val="Voetnootmarkering"/>
          <w:rFonts w:ascii="Calibri" w:hAnsi="Calibri"/>
        </w:rPr>
        <w:footnoteReference w:id="20"/>
      </w:r>
    </w:p>
    <w:p w14:paraId="22FD8983" w14:textId="4F1C99BD" w:rsidR="00B956A7" w:rsidRDefault="00CB4F70" w:rsidP="00724FEF">
      <w:pPr>
        <w:spacing w:line="276" w:lineRule="auto"/>
        <w:jc w:val="both"/>
        <w:rPr>
          <w:rFonts w:ascii="Calibri" w:hAnsi="Calibri" w:cs="Calibri"/>
        </w:rPr>
      </w:pPr>
      <w:r>
        <w:rPr>
          <w:rFonts w:ascii="Calibri" w:hAnsi="Calibri" w:cs="Calibri"/>
        </w:rPr>
        <w:t xml:space="preserve">In dit kader is relevant dat </w:t>
      </w:r>
      <w:r w:rsidR="00B956A7" w:rsidRPr="00B956A7">
        <w:rPr>
          <w:rFonts w:ascii="Calibri" w:hAnsi="Calibri" w:cs="Calibri"/>
        </w:rPr>
        <w:t>Nederland</w:t>
      </w:r>
      <w:r w:rsidR="008126DC">
        <w:rPr>
          <w:rFonts w:ascii="Calibri" w:hAnsi="Calibri" w:cs="Calibri"/>
        </w:rPr>
        <w:t xml:space="preserve"> </w:t>
      </w:r>
      <w:r w:rsidR="007642B0">
        <w:rPr>
          <w:rFonts w:ascii="Calibri" w:hAnsi="Calibri" w:cs="Calibri"/>
        </w:rPr>
        <w:t xml:space="preserve">aangeeft dat het </w:t>
      </w:r>
      <w:r w:rsidR="008126DC">
        <w:rPr>
          <w:rFonts w:ascii="Calibri" w:hAnsi="Calibri" w:cs="Calibri"/>
        </w:rPr>
        <w:t>onder meer</w:t>
      </w:r>
      <w:r w:rsidR="00B956A7" w:rsidRPr="00B956A7">
        <w:rPr>
          <w:rFonts w:ascii="Calibri" w:hAnsi="Calibri" w:cs="Calibri"/>
        </w:rPr>
        <w:t xml:space="preserve"> op 10 april 2024 Oekraïne schriftelijk op de hoogte</w:t>
      </w:r>
      <w:r>
        <w:rPr>
          <w:rFonts w:ascii="Calibri" w:hAnsi="Calibri" w:cs="Calibri"/>
        </w:rPr>
        <w:t xml:space="preserve"> heeft</w:t>
      </w:r>
      <w:r w:rsidR="00B956A7" w:rsidRPr="00B956A7">
        <w:rPr>
          <w:rFonts w:ascii="Calibri" w:hAnsi="Calibri" w:cs="Calibri"/>
        </w:rPr>
        <w:t xml:space="preserve"> gesteld van de verplichtingen van Nederland onder </w:t>
      </w:r>
      <w:r w:rsidR="008126DC">
        <w:rPr>
          <w:rFonts w:ascii="Calibri" w:hAnsi="Calibri" w:cs="Calibri"/>
        </w:rPr>
        <w:t xml:space="preserve">Verdrag inzake Clustermunitie </w:t>
      </w:r>
      <w:r w:rsidR="00B956A7" w:rsidRPr="0075166B">
        <w:rPr>
          <w:rFonts w:ascii="Calibri" w:hAnsi="Calibri" w:cs="Calibri"/>
        </w:rPr>
        <w:t xml:space="preserve">en Oekraïne </w:t>
      </w:r>
      <w:r w:rsidRPr="0075166B">
        <w:rPr>
          <w:rFonts w:ascii="Calibri" w:hAnsi="Calibri" w:cs="Calibri"/>
        </w:rPr>
        <w:t xml:space="preserve">heeft </w:t>
      </w:r>
      <w:r w:rsidR="00B956A7" w:rsidRPr="0075166B">
        <w:rPr>
          <w:rFonts w:ascii="Calibri" w:hAnsi="Calibri" w:cs="Calibri"/>
        </w:rPr>
        <w:t>ontmoedigd clustermunitie te gebruiken.</w:t>
      </w:r>
      <w:r w:rsidR="00B956A7" w:rsidRPr="0075166B">
        <w:rPr>
          <w:rStyle w:val="Voetnootmarkering"/>
          <w:rFonts w:ascii="Calibri" w:hAnsi="Calibri"/>
        </w:rPr>
        <w:footnoteReference w:id="21"/>
      </w:r>
      <w:r w:rsidR="00317CAB">
        <w:rPr>
          <w:rFonts w:ascii="Calibri" w:hAnsi="Calibri" w:cs="Calibri"/>
        </w:rPr>
        <w:t xml:space="preserve"> </w:t>
      </w:r>
    </w:p>
    <w:p w14:paraId="7D70BDEF" w14:textId="77777777" w:rsidR="00BE7050" w:rsidRPr="00C92AF8" w:rsidRDefault="00BE7050" w:rsidP="00724FEF">
      <w:pPr>
        <w:spacing w:before="240" w:after="240"/>
        <w:ind w:left="708"/>
        <w:jc w:val="both"/>
        <w:rPr>
          <w:rFonts w:ascii="Calibri" w:eastAsia="Calibri" w:hAnsi="Calibri" w:cs="Calibri"/>
        </w:rPr>
      </w:pPr>
    </w:p>
    <w:p w14:paraId="3BC2BDA0" w14:textId="3FAA7719" w:rsidR="159E16EC" w:rsidRPr="00494E8D" w:rsidRDefault="0FF240F4" w:rsidP="00724FEF">
      <w:pPr>
        <w:pStyle w:val="Kop1"/>
        <w:jc w:val="both"/>
      </w:pPr>
      <w:bookmarkStart w:id="7" w:name="_Toc185491842"/>
      <w:r w:rsidRPr="00494E8D">
        <w:t xml:space="preserve">Verdrag inzake </w:t>
      </w:r>
      <w:r w:rsidRPr="001C455F">
        <w:t>Clustermunit</w:t>
      </w:r>
      <w:r w:rsidR="74D7E092" w:rsidRPr="001C455F">
        <w:t>i</w:t>
      </w:r>
      <w:r w:rsidRPr="001C455F">
        <w:t>e</w:t>
      </w:r>
      <w:r w:rsidR="00C55114">
        <w:t>:</w:t>
      </w:r>
      <w:r w:rsidRPr="00494E8D">
        <w:t xml:space="preserve"> </w:t>
      </w:r>
      <w:r w:rsidR="00664B5F">
        <w:t>juridisch kader</w:t>
      </w:r>
      <w:bookmarkEnd w:id="7"/>
    </w:p>
    <w:p w14:paraId="1266FB72" w14:textId="349206E8" w:rsidR="0076242A" w:rsidRDefault="0086058E" w:rsidP="00724FEF">
      <w:pPr>
        <w:pStyle w:val="Kop2"/>
        <w:jc w:val="both"/>
      </w:pPr>
      <w:bookmarkStart w:id="8" w:name="_Toc185491843"/>
      <w:r>
        <w:t>Algemeen</w:t>
      </w:r>
      <w:r w:rsidR="0076242A">
        <w:t xml:space="preserve"> </w:t>
      </w:r>
      <w:r w:rsidR="00D14361">
        <w:t>/ verdragsbepaling</w:t>
      </w:r>
      <w:r w:rsidR="00611F31">
        <w:t>en</w:t>
      </w:r>
      <w:bookmarkEnd w:id="8"/>
    </w:p>
    <w:p w14:paraId="7A534858" w14:textId="0489899C" w:rsidR="1FA8A2A2" w:rsidRPr="00494E8D" w:rsidRDefault="66E2A848" w:rsidP="00724FEF">
      <w:pPr>
        <w:pStyle w:val="Tekst"/>
        <w:numPr>
          <w:ilvl w:val="0"/>
          <w:numId w:val="0"/>
        </w:numPr>
        <w:jc w:val="both"/>
      </w:pPr>
      <w:r w:rsidRPr="00494E8D">
        <w:t>Het Verdrag inzake Clustermunitie (</w:t>
      </w:r>
      <w:r w:rsidR="00D87563">
        <w:t>CCM</w:t>
      </w:r>
      <w:r w:rsidRPr="00494E8D">
        <w:t>) verbiedt gebruik, productie, aankoop, opslag en transport van clustermunitie.</w:t>
      </w:r>
      <w:r w:rsidR="1FA8A2A2" w:rsidRPr="00494E8D">
        <w:rPr>
          <w:rStyle w:val="Voetnootmarkering"/>
        </w:rPr>
        <w:footnoteReference w:id="22"/>
      </w:r>
      <w:r w:rsidRPr="00494E8D">
        <w:t xml:space="preserve"> Clustermunitie is een door een vliegtuig afgeworpen bom, granaat of raket, die uiteenvalt in kleinere explosieven. Gebruik van clustermunitie is </w:t>
      </w:r>
      <w:r w:rsidR="007A680E" w:rsidRPr="00494E8D">
        <w:t>verboden</w:t>
      </w:r>
      <w:r w:rsidRPr="00494E8D">
        <w:t xml:space="preserve">, omdat het veel menselijk leed kan veroorzaken. Daarnaast maakt het geen onderscheid tussen burger- en militaire doelen. </w:t>
      </w:r>
      <w:r w:rsidRPr="00494E8D">
        <w:lastRenderedPageBreak/>
        <w:t xml:space="preserve">Nederland heeft begin 2011 het Verdrag inzake Clustermunitie geratificeerd. Op grond van het verdrag is </w:t>
      </w:r>
      <w:r w:rsidR="00D87563">
        <w:t xml:space="preserve">onder meer het gebruik, </w:t>
      </w:r>
      <w:r w:rsidRPr="00494E8D">
        <w:t xml:space="preserve">de productie en export van clustermunitie </w:t>
      </w:r>
      <w:r w:rsidR="00D87563">
        <w:t>voor</w:t>
      </w:r>
      <w:r w:rsidRPr="00494E8D">
        <w:t xml:space="preserve"> Nederland verboden.</w:t>
      </w:r>
      <w:r w:rsidR="1FA8A2A2" w:rsidRPr="00494E8D">
        <w:rPr>
          <w:rStyle w:val="Voetnootmarkering"/>
        </w:rPr>
        <w:footnoteReference w:id="23"/>
      </w:r>
      <w:r w:rsidR="001E3397" w:rsidRPr="00494E8D">
        <w:t xml:space="preserve"> </w:t>
      </w:r>
      <w:r w:rsidR="0077204A" w:rsidRPr="00494E8D">
        <w:t>Oekraïne is geen partij bij de CCM.</w:t>
      </w:r>
    </w:p>
    <w:p w14:paraId="1A00AC86" w14:textId="7101A5F6" w:rsidR="05B91C30" w:rsidRDefault="72AACEEE" w:rsidP="00724FEF">
      <w:pPr>
        <w:pStyle w:val="Tekst"/>
        <w:numPr>
          <w:ilvl w:val="0"/>
          <w:numId w:val="0"/>
        </w:numPr>
        <w:jc w:val="both"/>
        <w:rPr>
          <w:rFonts w:ascii="Calibri" w:eastAsia="Calibri" w:hAnsi="Calibri" w:cs="Calibri"/>
        </w:rPr>
      </w:pPr>
      <w:r w:rsidRPr="00494E8D">
        <w:t>Clustermunitie wordt in de CCM gedefinieerd als “</w:t>
      </w:r>
      <w:r w:rsidRPr="00494E8D">
        <w:rPr>
          <w:rFonts w:ascii="Calibri" w:eastAsia="Calibri" w:hAnsi="Calibri" w:cs="Calibri"/>
        </w:rPr>
        <w:t xml:space="preserve">conventionele munitie die ontworpen is om explosieve </w:t>
      </w:r>
      <w:proofErr w:type="spellStart"/>
      <w:r w:rsidRPr="00494E8D">
        <w:rPr>
          <w:rFonts w:ascii="Calibri" w:eastAsia="Calibri" w:hAnsi="Calibri" w:cs="Calibri"/>
        </w:rPr>
        <w:t>submunities</w:t>
      </w:r>
      <w:proofErr w:type="spellEnd"/>
      <w:r w:rsidRPr="00494E8D">
        <w:rPr>
          <w:rFonts w:ascii="Calibri" w:eastAsia="Calibri" w:hAnsi="Calibri" w:cs="Calibri"/>
        </w:rPr>
        <w:t xml:space="preserve"> die elk minder wegen dan 20 kilogram te verspreiden of los te laten en omvat mede deze explosieve </w:t>
      </w:r>
      <w:proofErr w:type="spellStart"/>
      <w:r w:rsidRPr="00494E8D">
        <w:rPr>
          <w:rFonts w:ascii="Calibri" w:eastAsia="Calibri" w:hAnsi="Calibri" w:cs="Calibri"/>
        </w:rPr>
        <w:t>submunities</w:t>
      </w:r>
      <w:proofErr w:type="spellEnd"/>
      <w:r w:rsidRPr="00494E8D">
        <w:rPr>
          <w:rFonts w:ascii="Calibri" w:eastAsia="Calibri" w:hAnsi="Calibri" w:cs="Calibri"/>
        </w:rPr>
        <w:t>.”</w:t>
      </w:r>
      <w:r w:rsidR="05B91C30" w:rsidRPr="00494E8D">
        <w:rPr>
          <w:rStyle w:val="Voetnootmarkering"/>
          <w:rFonts w:ascii="Calibri" w:eastAsia="Calibri" w:hAnsi="Calibri" w:cs="Calibri"/>
        </w:rPr>
        <w:footnoteReference w:id="24"/>
      </w:r>
      <w:r w:rsidR="5FF32E8F" w:rsidRPr="00494E8D">
        <w:rPr>
          <w:rFonts w:ascii="Calibri" w:eastAsia="Calibri" w:hAnsi="Calibri" w:cs="Calibri"/>
        </w:rPr>
        <w:t xml:space="preserve"> </w:t>
      </w:r>
    </w:p>
    <w:p w14:paraId="00A713EF" w14:textId="3EB2C52F" w:rsidR="00836C2B" w:rsidRPr="00494E8D" w:rsidRDefault="00D87563" w:rsidP="00724FEF">
      <w:pPr>
        <w:jc w:val="both"/>
        <w:rPr>
          <w:color w:val="333333"/>
        </w:rPr>
      </w:pPr>
      <w:r>
        <w:rPr>
          <w:color w:val="333333"/>
        </w:rPr>
        <w:t xml:space="preserve">De hoofdverplichting van de CCM staat in </w:t>
      </w:r>
      <w:r w:rsidR="00836C2B">
        <w:rPr>
          <w:color w:val="333333"/>
        </w:rPr>
        <w:t>a</w:t>
      </w:r>
      <w:r w:rsidR="00836C2B" w:rsidRPr="00494E8D">
        <w:rPr>
          <w:color w:val="333333"/>
        </w:rPr>
        <w:t>rtikel 1 CCM</w:t>
      </w:r>
      <w:r w:rsidR="00337935">
        <w:rPr>
          <w:color w:val="333333"/>
        </w:rPr>
        <w:t xml:space="preserve">. Op grond van lid 1 </w:t>
      </w:r>
      <w:r w:rsidR="00836C2B">
        <w:rPr>
          <w:color w:val="333333"/>
        </w:rPr>
        <w:t>sub</w:t>
      </w:r>
      <w:r w:rsidR="00337935">
        <w:rPr>
          <w:color w:val="333333"/>
        </w:rPr>
        <w:t xml:space="preserve"> </w:t>
      </w:r>
      <w:r w:rsidR="00836C2B">
        <w:rPr>
          <w:color w:val="333333"/>
        </w:rPr>
        <w:t xml:space="preserve">c </w:t>
      </w:r>
      <w:r w:rsidR="00337935">
        <w:rPr>
          <w:color w:val="333333"/>
        </w:rPr>
        <w:t xml:space="preserve">is het verboden </w:t>
      </w:r>
      <w:r w:rsidR="00E63E2A">
        <w:rPr>
          <w:color w:val="333333"/>
        </w:rPr>
        <w:t xml:space="preserve">om </w:t>
      </w:r>
      <w:r w:rsidR="00B118BC">
        <w:rPr>
          <w:color w:val="333333"/>
        </w:rPr>
        <w:t xml:space="preserve">enige activiteit die door het verdrag verboden is te steunen. Dit artikel </w:t>
      </w:r>
      <w:r w:rsidR="00973DA8">
        <w:rPr>
          <w:color w:val="333333"/>
        </w:rPr>
        <w:t>luidt</w:t>
      </w:r>
      <w:r w:rsidR="00836C2B" w:rsidRPr="00494E8D">
        <w:rPr>
          <w:color w:val="333333"/>
        </w:rPr>
        <w:t>:</w:t>
      </w:r>
    </w:p>
    <w:p w14:paraId="24B45E0A" w14:textId="2FB2F9E0" w:rsidR="00836C2B" w:rsidRPr="00494E8D" w:rsidRDefault="00836C2B" w:rsidP="00724FEF">
      <w:pPr>
        <w:pStyle w:val="Tekst"/>
        <w:numPr>
          <w:ilvl w:val="0"/>
          <w:numId w:val="0"/>
        </w:numPr>
        <w:ind w:left="708"/>
        <w:jc w:val="both"/>
      </w:pPr>
      <w:r w:rsidRPr="00494E8D">
        <w:t>“</w:t>
      </w:r>
      <w:r w:rsidR="00316554">
        <w:t xml:space="preserve">1 </w:t>
      </w:r>
      <w:r w:rsidRPr="00494E8D">
        <w:t xml:space="preserve">Elke Staat die Partij is verplicht zich ertoe onder geen enkele omstandigheid: </w:t>
      </w:r>
    </w:p>
    <w:p w14:paraId="3688718A" w14:textId="77777777" w:rsidR="00836C2B" w:rsidRPr="00494E8D" w:rsidRDefault="00836C2B" w:rsidP="00724FEF">
      <w:pPr>
        <w:pStyle w:val="Tekst"/>
        <w:numPr>
          <w:ilvl w:val="0"/>
          <w:numId w:val="0"/>
        </w:numPr>
        <w:ind w:left="708" w:firstLine="708"/>
        <w:jc w:val="both"/>
      </w:pPr>
      <w:r w:rsidRPr="00494E8D">
        <w:t xml:space="preserve">a. clustermunitie te gebruiken; </w:t>
      </w:r>
    </w:p>
    <w:p w14:paraId="2B787A30" w14:textId="77777777" w:rsidR="00836C2B" w:rsidRPr="00494E8D" w:rsidRDefault="00836C2B" w:rsidP="00724FEF">
      <w:pPr>
        <w:pStyle w:val="Tekst"/>
        <w:numPr>
          <w:ilvl w:val="0"/>
          <w:numId w:val="0"/>
        </w:numPr>
        <w:ind w:left="1416"/>
        <w:jc w:val="both"/>
      </w:pPr>
      <w:r w:rsidRPr="00494E8D">
        <w:t xml:space="preserve">b. rechtstreeks of onrechtstreeks clustermunitie te ontwikkelen, te produceren, anderszins te verwerven, op te slaan, aan te houden of aan derden over te dragen; </w:t>
      </w:r>
    </w:p>
    <w:p w14:paraId="47F44453" w14:textId="77777777" w:rsidR="00836C2B" w:rsidRDefault="00836C2B" w:rsidP="00724FEF">
      <w:pPr>
        <w:pStyle w:val="Tekst"/>
        <w:numPr>
          <w:ilvl w:val="0"/>
          <w:numId w:val="0"/>
        </w:numPr>
        <w:ind w:left="1416"/>
        <w:jc w:val="both"/>
      </w:pPr>
      <w:r w:rsidRPr="00494E8D">
        <w:t xml:space="preserve">c. </w:t>
      </w:r>
      <w:r w:rsidRPr="00494E8D">
        <w:rPr>
          <w:u w:val="single"/>
        </w:rPr>
        <w:t>enige activiteit die op grond van dit Verdrag verboden is voor een Staat die Partij is te steunen</w:t>
      </w:r>
      <w:r w:rsidRPr="00494E8D">
        <w:t>, aan te moedigen of derden ertoe aan te zetten.”</w:t>
      </w:r>
    </w:p>
    <w:p w14:paraId="73A3DD90" w14:textId="7EE1D9B0" w:rsidR="009058D7" w:rsidRDefault="001174B4" w:rsidP="00724FEF">
      <w:pPr>
        <w:jc w:val="both"/>
        <w:rPr>
          <w:rFonts w:ascii="Calibri" w:eastAsia="Calibri" w:hAnsi="Calibri" w:cs="Calibri"/>
        </w:rPr>
      </w:pPr>
      <w:r>
        <w:rPr>
          <w:rFonts w:ascii="Calibri" w:eastAsia="Calibri" w:hAnsi="Calibri" w:cs="Calibri"/>
        </w:rPr>
        <w:t xml:space="preserve">Artikel </w:t>
      </w:r>
      <w:r w:rsidR="006F4CAE">
        <w:rPr>
          <w:rFonts w:ascii="Calibri" w:eastAsia="Calibri" w:hAnsi="Calibri" w:cs="Calibri"/>
        </w:rPr>
        <w:t xml:space="preserve">21 </w:t>
      </w:r>
      <w:r w:rsidRPr="00494E8D">
        <w:rPr>
          <w:rFonts w:ascii="Calibri" w:eastAsia="Calibri" w:hAnsi="Calibri" w:cs="Calibri"/>
        </w:rPr>
        <w:t>CCM</w:t>
      </w:r>
      <w:r w:rsidR="006F4CAE">
        <w:rPr>
          <w:rFonts w:ascii="Calibri" w:eastAsia="Calibri" w:hAnsi="Calibri" w:cs="Calibri"/>
        </w:rPr>
        <w:t>, waaraan in vrag</w:t>
      </w:r>
      <w:r w:rsidR="00D3743A">
        <w:rPr>
          <w:rFonts w:ascii="Calibri" w:eastAsia="Calibri" w:hAnsi="Calibri" w:cs="Calibri"/>
        </w:rPr>
        <w:t>en 2,</w:t>
      </w:r>
      <w:r w:rsidR="0062132B">
        <w:rPr>
          <w:rFonts w:ascii="Calibri" w:eastAsia="Calibri" w:hAnsi="Calibri" w:cs="Calibri"/>
        </w:rPr>
        <w:t xml:space="preserve"> </w:t>
      </w:r>
      <w:r w:rsidR="00D3743A">
        <w:rPr>
          <w:rFonts w:ascii="Calibri" w:eastAsia="Calibri" w:hAnsi="Calibri" w:cs="Calibri"/>
        </w:rPr>
        <w:t>3 en 4 w</w:t>
      </w:r>
      <w:r w:rsidR="006F4CAE">
        <w:rPr>
          <w:rFonts w:ascii="Calibri" w:eastAsia="Calibri" w:hAnsi="Calibri" w:cs="Calibri"/>
        </w:rPr>
        <w:t xml:space="preserve">ordt gerefereerd, </w:t>
      </w:r>
      <w:r w:rsidRPr="00494E8D">
        <w:rPr>
          <w:rFonts w:ascii="Calibri" w:eastAsia="Calibri" w:hAnsi="Calibri" w:cs="Calibri"/>
        </w:rPr>
        <w:t>luidt:</w:t>
      </w:r>
    </w:p>
    <w:p w14:paraId="3F5DA34C" w14:textId="67103F67" w:rsidR="009058D7" w:rsidRDefault="00316554" w:rsidP="00724FEF">
      <w:pPr>
        <w:ind w:left="708"/>
        <w:jc w:val="both"/>
        <w:rPr>
          <w:rFonts w:ascii="Calibri" w:eastAsia="Calibri" w:hAnsi="Calibri" w:cs="Calibri"/>
        </w:rPr>
      </w:pPr>
      <w:r>
        <w:rPr>
          <w:rFonts w:ascii="Calibri" w:eastAsia="Calibri" w:hAnsi="Calibri" w:cs="Calibri"/>
        </w:rPr>
        <w:t>“</w:t>
      </w:r>
      <w:r w:rsidR="00D3743A" w:rsidRPr="00D3743A">
        <w:rPr>
          <w:rFonts w:ascii="Calibri" w:eastAsia="Calibri" w:hAnsi="Calibri" w:cs="Calibri"/>
        </w:rPr>
        <w:t>1 Elke Staat die Partij is moedigt Staten die geen Partij zijn bij dit Verdrag aan dit Verdrag te bekrachtigen, te aanvaarden, goed te keuren of ertoe toe te treden, met als doel de participatie van alle Staten bij dit Verdrag te verkrijgen.</w:t>
      </w:r>
    </w:p>
    <w:p w14:paraId="2879AD36" w14:textId="77777777" w:rsidR="009058D7" w:rsidRDefault="00D3743A" w:rsidP="00724FEF">
      <w:pPr>
        <w:ind w:left="708"/>
        <w:jc w:val="both"/>
        <w:rPr>
          <w:rFonts w:ascii="Calibri" w:eastAsia="Calibri" w:hAnsi="Calibri" w:cs="Calibri"/>
        </w:rPr>
      </w:pPr>
      <w:r w:rsidRPr="00D3743A">
        <w:rPr>
          <w:rFonts w:ascii="Calibri" w:eastAsia="Calibri" w:hAnsi="Calibri" w:cs="Calibri"/>
        </w:rPr>
        <w:t xml:space="preserve">2 Elke Staat die Partij is stelt de regeringen van alle in het derde lid van dit artikel bedoelde Staten die geen Partij zijn bij dit Verdrag in kennis van zijn verplichtingen uit hoofde van dit Verdrag, </w:t>
      </w:r>
      <w:r w:rsidRPr="0007005C">
        <w:rPr>
          <w:rFonts w:ascii="Calibri" w:eastAsia="Calibri" w:hAnsi="Calibri" w:cs="Calibri"/>
          <w:u w:val="single"/>
        </w:rPr>
        <w:t>bevordert de normen die erin zijn vastgelegd en spant zich tot het uiterste in Staten die geen Partij zijn bij dit Verdrag te weerhouden van het gebruik van clustermunitie</w:t>
      </w:r>
      <w:r w:rsidRPr="00D3743A">
        <w:rPr>
          <w:rFonts w:ascii="Calibri" w:eastAsia="Calibri" w:hAnsi="Calibri" w:cs="Calibri"/>
        </w:rPr>
        <w:t>.</w:t>
      </w:r>
    </w:p>
    <w:p w14:paraId="615C5CC5" w14:textId="77777777" w:rsidR="009058D7" w:rsidRDefault="00D3743A" w:rsidP="00724FEF">
      <w:pPr>
        <w:ind w:left="708"/>
        <w:jc w:val="both"/>
        <w:rPr>
          <w:rFonts w:ascii="Calibri" w:eastAsia="Calibri" w:hAnsi="Calibri" w:cs="Calibri"/>
        </w:rPr>
      </w:pPr>
      <w:r w:rsidRPr="00D3743A">
        <w:rPr>
          <w:rFonts w:ascii="Calibri" w:eastAsia="Calibri" w:hAnsi="Calibri" w:cs="Calibri"/>
        </w:rPr>
        <w:t xml:space="preserve">3 </w:t>
      </w:r>
      <w:r w:rsidRPr="00130603">
        <w:rPr>
          <w:rFonts w:ascii="Calibri" w:eastAsia="Calibri" w:hAnsi="Calibri" w:cs="Calibri"/>
          <w:u w:val="single"/>
        </w:rPr>
        <w:t>Niettegenstaande</w:t>
      </w:r>
      <w:r w:rsidRPr="00D3743A">
        <w:rPr>
          <w:rFonts w:ascii="Calibri" w:eastAsia="Calibri" w:hAnsi="Calibri" w:cs="Calibri"/>
        </w:rPr>
        <w:t xml:space="preserve"> de bepalingen van artikel 1 van dit Verdrag en in overeenstemming met het internationale recht, kunnen de Staten die Partij zijn hun militair personeel of hun onderdanen, </w:t>
      </w:r>
      <w:r w:rsidRPr="00130603">
        <w:rPr>
          <w:rFonts w:ascii="Calibri" w:eastAsia="Calibri" w:hAnsi="Calibri" w:cs="Calibri"/>
          <w:u w:val="single"/>
        </w:rPr>
        <w:t>op militair gebied samenwerken en militaire operaties uitvoeren met Staten</w:t>
      </w:r>
      <w:r w:rsidRPr="00D3743A">
        <w:rPr>
          <w:rFonts w:ascii="Calibri" w:eastAsia="Calibri" w:hAnsi="Calibri" w:cs="Calibri"/>
        </w:rPr>
        <w:t xml:space="preserve"> die geen Partij zijn bij dit Verdrag die </w:t>
      </w:r>
      <w:r w:rsidRPr="00960D23">
        <w:rPr>
          <w:rFonts w:ascii="Calibri" w:eastAsia="Calibri" w:hAnsi="Calibri" w:cs="Calibri"/>
          <w:u w:val="single"/>
        </w:rPr>
        <w:t>mogelijk deelnemen aan activiteiten die verboden zijn</w:t>
      </w:r>
      <w:r w:rsidRPr="00D3743A">
        <w:rPr>
          <w:rFonts w:ascii="Calibri" w:eastAsia="Calibri" w:hAnsi="Calibri" w:cs="Calibri"/>
        </w:rPr>
        <w:t xml:space="preserve"> voor een Staat die Partij is.</w:t>
      </w:r>
    </w:p>
    <w:p w14:paraId="1666CB28" w14:textId="77777777" w:rsidR="0088501F" w:rsidRDefault="00D3743A" w:rsidP="00724FEF">
      <w:pPr>
        <w:ind w:left="708"/>
        <w:jc w:val="both"/>
        <w:rPr>
          <w:rFonts w:ascii="Calibri" w:eastAsia="Calibri" w:hAnsi="Calibri" w:cs="Calibri"/>
        </w:rPr>
      </w:pPr>
      <w:r w:rsidRPr="00D3743A">
        <w:rPr>
          <w:rFonts w:ascii="Calibri" w:eastAsia="Calibri" w:hAnsi="Calibri" w:cs="Calibri"/>
        </w:rPr>
        <w:t>4 Niets in het derde lid van dit artikel geeft een Staat die Partij is het recht:</w:t>
      </w:r>
    </w:p>
    <w:p w14:paraId="39C52EBD" w14:textId="77777777" w:rsidR="0088501F" w:rsidRDefault="00D3743A" w:rsidP="00724FEF">
      <w:pPr>
        <w:ind w:left="708" w:firstLine="708"/>
        <w:jc w:val="both"/>
        <w:rPr>
          <w:rFonts w:ascii="Calibri" w:eastAsia="Calibri" w:hAnsi="Calibri" w:cs="Calibri"/>
        </w:rPr>
      </w:pPr>
      <w:r w:rsidRPr="00D3743A">
        <w:rPr>
          <w:rFonts w:ascii="Calibri" w:eastAsia="Calibri" w:hAnsi="Calibri" w:cs="Calibri"/>
        </w:rPr>
        <w:t>a. clustermunitie te ontwikkelen, te produceren of anderszins te verwerven;</w:t>
      </w:r>
      <w:r w:rsidR="0088501F">
        <w:rPr>
          <w:rFonts w:ascii="Calibri" w:eastAsia="Calibri" w:hAnsi="Calibri" w:cs="Calibri"/>
        </w:rPr>
        <w:t xml:space="preserve"> </w:t>
      </w:r>
    </w:p>
    <w:p w14:paraId="77D70860" w14:textId="77777777" w:rsidR="0088501F" w:rsidRDefault="00D3743A" w:rsidP="00724FEF">
      <w:pPr>
        <w:ind w:left="708" w:firstLine="708"/>
        <w:jc w:val="both"/>
        <w:rPr>
          <w:rFonts w:ascii="Calibri" w:eastAsia="Calibri" w:hAnsi="Calibri" w:cs="Calibri"/>
        </w:rPr>
      </w:pPr>
      <w:r w:rsidRPr="00D3743A">
        <w:rPr>
          <w:rFonts w:ascii="Calibri" w:eastAsia="Calibri" w:hAnsi="Calibri" w:cs="Calibri"/>
        </w:rPr>
        <w:t xml:space="preserve">b. zelf voorraden clustermunitie aan te leggen of clustermunitie over te dragen; </w:t>
      </w:r>
    </w:p>
    <w:p w14:paraId="036AE981" w14:textId="77777777" w:rsidR="0088501F" w:rsidRDefault="00D3743A" w:rsidP="00724FEF">
      <w:pPr>
        <w:ind w:left="708" w:firstLine="708"/>
        <w:jc w:val="both"/>
        <w:rPr>
          <w:rFonts w:ascii="Calibri" w:eastAsia="Calibri" w:hAnsi="Calibri" w:cs="Calibri"/>
        </w:rPr>
      </w:pPr>
      <w:r w:rsidRPr="00D3743A">
        <w:rPr>
          <w:rFonts w:ascii="Calibri" w:eastAsia="Calibri" w:hAnsi="Calibri" w:cs="Calibri"/>
        </w:rPr>
        <w:t>c. zelf clustermunitie te gebruiken; o</w:t>
      </w:r>
      <w:r w:rsidR="0088501F">
        <w:rPr>
          <w:rFonts w:ascii="Calibri" w:eastAsia="Calibri" w:hAnsi="Calibri" w:cs="Calibri"/>
        </w:rPr>
        <w:t>f</w:t>
      </w:r>
      <w:r w:rsidRPr="00D3743A">
        <w:rPr>
          <w:rFonts w:ascii="Calibri" w:eastAsia="Calibri" w:hAnsi="Calibri" w:cs="Calibri"/>
        </w:rPr>
        <w:t xml:space="preserve"> </w:t>
      </w:r>
    </w:p>
    <w:p w14:paraId="629EBB3D" w14:textId="2975E277" w:rsidR="00836C2B" w:rsidRPr="00494E8D" w:rsidRDefault="00D3743A" w:rsidP="00724FEF">
      <w:pPr>
        <w:ind w:left="1416"/>
        <w:jc w:val="both"/>
        <w:rPr>
          <w:rFonts w:ascii="Calibri" w:eastAsia="Calibri" w:hAnsi="Calibri" w:cs="Calibri"/>
        </w:rPr>
      </w:pPr>
      <w:r w:rsidRPr="00D3743A">
        <w:rPr>
          <w:rFonts w:ascii="Calibri" w:eastAsia="Calibri" w:hAnsi="Calibri" w:cs="Calibri"/>
        </w:rPr>
        <w:t>d. uitdrukkelijk om het gebruik van clustermunitie te verzoeken in gevallen waarin de keuze</w:t>
      </w:r>
      <w:r w:rsidR="0088501F">
        <w:rPr>
          <w:rFonts w:ascii="Calibri" w:eastAsia="Calibri" w:hAnsi="Calibri" w:cs="Calibri"/>
        </w:rPr>
        <w:t xml:space="preserve"> </w:t>
      </w:r>
      <w:r w:rsidRPr="00D3743A">
        <w:rPr>
          <w:rFonts w:ascii="Calibri" w:eastAsia="Calibri" w:hAnsi="Calibri" w:cs="Calibri"/>
        </w:rPr>
        <w:t>van de te gebruiken munitie uitsluitend bij hem ligt.</w:t>
      </w:r>
      <w:r w:rsidR="00316554">
        <w:rPr>
          <w:rFonts w:ascii="Calibri" w:eastAsia="Calibri" w:hAnsi="Calibri" w:cs="Calibri"/>
        </w:rPr>
        <w:t>”</w:t>
      </w:r>
    </w:p>
    <w:p w14:paraId="1A40F536" w14:textId="5E03F081" w:rsidR="00346BF0" w:rsidRDefault="00BE3992" w:rsidP="00724FEF">
      <w:pPr>
        <w:jc w:val="both"/>
        <w:rPr>
          <w:rFonts w:ascii="Calibri" w:eastAsia="Calibri" w:hAnsi="Calibri" w:cs="Calibri"/>
        </w:rPr>
      </w:pPr>
      <w:r>
        <w:lastRenderedPageBreak/>
        <w:t xml:space="preserve">Artikel 1 CCM bevat </w:t>
      </w:r>
      <w:r w:rsidR="0044685F">
        <w:t xml:space="preserve">een strikt geformuleerde </w:t>
      </w:r>
      <w:r>
        <w:t xml:space="preserve">hoofdverplichting voor verdragstaten om geen </w:t>
      </w:r>
      <w:r w:rsidR="00EB316E">
        <w:t xml:space="preserve">clustermunitie te gebruiken of andere daarbij steun te verlenen. </w:t>
      </w:r>
      <w:r w:rsidR="005E54AC">
        <w:t xml:space="preserve">Vanwege de zorg van </w:t>
      </w:r>
      <w:r w:rsidR="00F76BCC">
        <w:t xml:space="preserve">enkele verdragstaten dat door deze strikte formulering militaire samenwerking en </w:t>
      </w:r>
      <w:r w:rsidR="00F548D1">
        <w:t>gezamenlijke militaire operaties</w:t>
      </w:r>
      <w:r w:rsidR="00F76BCC">
        <w:t xml:space="preserve"> </w:t>
      </w:r>
      <w:r w:rsidR="00AA03D3">
        <w:t>verboden zouden worden geacht is in ar</w:t>
      </w:r>
      <w:r w:rsidR="00EB316E">
        <w:t xml:space="preserve">tikel 21 </w:t>
      </w:r>
      <w:r w:rsidR="0044685F">
        <w:t xml:space="preserve">lid 3 </w:t>
      </w:r>
      <w:r w:rsidR="00AA03D3">
        <w:t xml:space="preserve">CCM </w:t>
      </w:r>
      <w:r w:rsidR="0044685F">
        <w:t>verduidelijkt dat</w:t>
      </w:r>
      <w:r w:rsidR="00E45055">
        <w:t xml:space="preserve"> </w:t>
      </w:r>
      <w:r w:rsidR="00A14CBC">
        <w:t xml:space="preserve">verdragstaten </w:t>
      </w:r>
      <w:r w:rsidR="00E45055">
        <w:t xml:space="preserve">ondanks </w:t>
      </w:r>
      <w:r w:rsidR="002E77AC">
        <w:t>de</w:t>
      </w:r>
      <w:r w:rsidR="005264C1">
        <w:t>ze hoofdregel in artikel 1 en in overeenstemming met internationaal recht</w:t>
      </w:r>
      <w:r w:rsidR="006D6760">
        <w:t xml:space="preserve"> kunnen samenwerken op</w:t>
      </w:r>
      <w:r w:rsidR="005264C1">
        <w:t xml:space="preserve"> </w:t>
      </w:r>
      <w:r w:rsidR="00A14CBC">
        <w:t>militair</w:t>
      </w:r>
      <w:r w:rsidR="006D6760">
        <w:t xml:space="preserve"> gebied met </w:t>
      </w:r>
      <w:r w:rsidR="00FF1635">
        <w:t xml:space="preserve">staten die geen partij zijn en die mogelijk </w:t>
      </w:r>
      <w:r w:rsidR="00FF1635" w:rsidRPr="00D3743A">
        <w:rPr>
          <w:rFonts w:ascii="Calibri" w:eastAsia="Calibri" w:hAnsi="Calibri" w:cs="Calibri"/>
        </w:rPr>
        <w:t>deelnemen aan activiteiten</w:t>
      </w:r>
      <w:r w:rsidR="00FF1635">
        <w:rPr>
          <w:rFonts w:ascii="Calibri" w:eastAsia="Calibri" w:hAnsi="Calibri" w:cs="Calibri"/>
        </w:rPr>
        <w:t xml:space="preserve"> </w:t>
      </w:r>
      <w:r w:rsidR="00AB09FB">
        <w:rPr>
          <w:rFonts w:ascii="Calibri" w:eastAsia="Calibri" w:hAnsi="Calibri" w:cs="Calibri"/>
        </w:rPr>
        <w:t xml:space="preserve">die voor verdragsstaten </w:t>
      </w:r>
      <w:r w:rsidR="00A31A80">
        <w:rPr>
          <w:rFonts w:ascii="Calibri" w:eastAsia="Calibri" w:hAnsi="Calibri" w:cs="Calibri"/>
        </w:rPr>
        <w:t>verboden</w:t>
      </w:r>
      <w:r w:rsidR="001A5A23">
        <w:rPr>
          <w:rFonts w:ascii="Calibri" w:eastAsia="Calibri" w:hAnsi="Calibri" w:cs="Calibri"/>
        </w:rPr>
        <w:t xml:space="preserve"> zouden zijn</w:t>
      </w:r>
      <w:r w:rsidR="00A31A80">
        <w:rPr>
          <w:rFonts w:ascii="Calibri" w:eastAsia="Calibri" w:hAnsi="Calibri" w:cs="Calibri"/>
        </w:rPr>
        <w:t xml:space="preserve">. </w:t>
      </w:r>
      <w:r w:rsidR="00E57120">
        <w:rPr>
          <w:rFonts w:ascii="Calibri" w:eastAsia="Calibri" w:hAnsi="Calibri" w:cs="Calibri"/>
        </w:rPr>
        <w:t xml:space="preserve">Naar deze </w:t>
      </w:r>
      <w:r w:rsidR="0050566D">
        <w:rPr>
          <w:rFonts w:ascii="Calibri" w:eastAsia="Calibri" w:hAnsi="Calibri" w:cs="Calibri"/>
        </w:rPr>
        <w:t>situatie wordt</w:t>
      </w:r>
      <w:r w:rsidR="00E57120">
        <w:rPr>
          <w:rFonts w:ascii="Calibri" w:eastAsia="Calibri" w:hAnsi="Calibri" w:cs="Calibri"/>
        </w:rPr>
        <w:t xml:space="preserve"> ook wel verwezen met het concept</w:t>
      </w:r>
      <w:r w:rsidR="0050566D">
        <w:rPr>
          <w:rFonts w:ascii="Calibri" w:eastAsia="Calibri" w:hAnsi="Calibri" w:cs="Calibri"/>
        </w:rPr>
        <w:t xml:space="preserve"> interoperabiliteit. </w:t>
      </w:r>
    </w:p>
    <w:p w14:paraId="296BD192" w14:textId="63B625C7" w:rsidR="001478A0" w:rsidRDefault="00316554" w:rsidP="00724FEF">
      <w:pPr>
        <w:jc w:val="both"/>
        <w:rPr>
          <w:rFonts w:ascii="Calibri" w:eastAsia="Calibri" w:hAnsi="Calibri" w:cs="Calibri"/>
        </w:rPr>
      </w:pPr>
      <w:r>
        <w:rPr>
          <w:rFonts w:ascii="Calibri" w:eastAsia="Calibri" w:hAnsi="Calibri" w:cs="Calibri"/>
        </w:rPr>
        <w:t xml:space="preserve">Artikel 21 lid </w:t>
      </w:r>
      <w:r w:rsidR="00285166">
        <w:rPr>
          <w:rFonts w:ascii="Calibri" w:eastAsia="Calibri" w:hAnsi="Calibri" w:cs="Calibri"/>
        </w:rPr>
        <w:t xml:space="preserve">4 CCM maakt op zijn beurt weer duidelijk dat </w:t>
      </w:r>
      <w:r w:rsidR="00874B9B">
        <w:rPr>
          <w:rFonts w:ascii="Calibri" w:eastAsia="Calibri" w:hAnsi="Calibri" w:cs="Calibri"/>
        </w:rPr>
        <w:t xml:space="preserve">een </w:t>
      </w:r>
      <w:r w:rsidR="0050566D">
        <w:rPr>
          <w:rFonts w:ascii="Calibri" w:eastAsia="Calibri" w:hAnsi="Calibri" w:cs="Calibri"/>
        </w:rPr>
        <w:t>verdragssta</w:t>
      </w:r>
      <w:r w:rsidR="00874B9B">
        <w:rPr>
          <w:rFonts w:ascii="Calibri" w:eastAsia="Calibri" w:hAnsi="Calibri" w:cs="Calibri"/>
        </w:rPr>
        <w:t>at</w:t>
      </w:r>
      <w:r w:rsidR="0050566D">
        <w:rPr>
          <w:rFonts w:ascii="Calibri" w:eastAsia="Calibri" w:hAnsi="Calibri" w:cs="Calibri"/>
        </w:rPr>
        <w:t xml:space="preserve"> die </w:t>
      </w:r>
      <w:r w:rsidR="00874B9B">
        <w:rPr>
          <w:rFonts w:ascii="Calibri" w:eastAsia="Calibri" w:hAnsi="Calibri" w:cs="Calibri"/>
        </w:rPr>
        <w:t xml:space="preserve">op </w:t>
      </w:r>
      <w:r w:rsidR="0050566D">
        <w:rPr>
          <w:rFonts w:ascii="Calibri" w:eastAsia="Calibri" w:hAnsi="Calibri" w:cs="Calibri"/>
        </w:rPr>
        <w:t xml:space="preserve">militair </w:t>
      </w:r>
      <w:r w:rsidR="00874B9B">
        <w:rPr>
          <w:rFonts w:ascii="Calibri" w:eastAsia="Calibri" w:hAnsi="Calibri" w:cs="Calibri"/>
        </w:rPr>
        <w:t xml:space="preserve">gebied </w:t>
      </w:r>
      <w:r w:rsidR="0050566D">
        <w:rPr>
          <w:rFonts w:ascii="Calibri" w:eastAsia="Calibri" w:hAnsi="Calibri" w:cs="Calibri"/>
        </w:rPr>
        <w:t>samenwerk</w:t>
      </w:r>
      <w:r w:rsidR="00874B9B">
        <w:rPr>
          <w:rFonts w:ascii="Calibri" w:eastAsia="Calibri" w:hAnsi="Calibri" w:cs="Calibri"/>
        </w:rPr>
        <w:t>t</w:t>
      </w:r>
      <w:r w:rsidR="0050566D">
        <w:rPr>
          <w:rFonts w:ascii="Calibri" w:eastAsia="Calibri" w:hAnsi="Calibri" w:cs="Calibri"/>
        </w:rPr>
        <w:t xml:space="preserve"> met een niet-</w:t>
      </w:r>
      <w:r w:rsidR="004937F1">
        <w:rPr>
          <w:rFonts w:ascii="Calibri" w:eastAsia="Calibri" w:hAnsi="Calibri" w:cs="Calibri"/>
        </w:rPr>
        <w:t>verdragsstaat</w:t>
      </w:r>
      <w:r w:rsidR="0050566D">
        <w:rPr>
          <w:rFonts w:ascii="Calibri" w:eastAsia="Calibri" w:hAnsi="Calibri" w:cs="Calibri"/>
        </w:rPr>
        <w:t xml:space="preserve"> </w:t>
      </w:r>
      <w:r w:rsidR="00874B9B">
        <w:rPr>
          <w:rFonts w:ascii="Calibri" w:eastAsia="Calibri" w:hAnsi="Calibri" w:cs="Calibri"/>
        </w:rPr>
        <w:t xml:space="preserve">in de </w:t>
      </w:r>
      <w:r w:rsidR="00F35708">
        <w:rPr>
          <w:rFonts w:ascii="Calibri" w:eastAsia="Calibri" w:hAnsi="Calibri" w:cs="Calibri"/>
        </w:rPr>
        <w:t>situatie</w:t>
      </w:r>
      <w:r w:rsidR="00874B9B">
        <w:rPr>
          <w:rFonts w:ascii="Calibri" w:eastAsia="Calibri" w:hAnsi="Calibri" w:cs="Calibri"/>
        </w:rPr>
        <w:t xml:space="preserve"> </w:t>
      </w:r>
      <w:r w:rsidR="00F35708">
        <w:rPr>
          <w:rFonts w:ascii="Calibri" w:eastAsia="Calibri" w:hAnsi="Calibri" w:cs="Calibri"/>
        </w:rPr>
        <w:t>bedoel</w:t>
      </w:r>
      <w:r w:rsidR="00350D80">
        <w:rPr>
          <w:rFonts w:ascii="Calibri" w:eastAsia="Calibri" w:hAnsi="Calibri" w:cs="Calibri"/>
        </w:rPr>
        <w:t>d</w:t>
      </w:r>
      <w:r w:rsidR="00F35708">
        <w:rPr>
          <w:rFonts w:ascii="Calibri" w:eastAsia="Calibri" w:hAnsi="Calibri" w:cs="Calibri"/>
        </w:rPr>
        <w:t xml:space="preserve"> in</w:t>
      </w:r>
      <w:r w:rsidR="00874B9B">
        <w:rPr>
          <w:rFonts w:ascii="Calibri" w:eastAsia="Calibri" w:hAnsi="Calibri" w:cs="Calibri"/>
        </w:rPr>
        <w:t xml:space="preserve"> het derde lid onder geen bedi</w:t>
      </w:r>
      <w:r w:rsidR="00F35708">
        <w:rPr>
          <w:rFonts w:ascii="Calibri" w:eastAsia="Calibri" w:hAnsi="Calibri" w:cs="Calibri"/>
        </w:rPr>
        <w:t>n</w:t>
      </w:r>
      <w:r w:rsidR="00874B9B">
        <w:rPr>
          <w:rFonts w:ascii="Calibri" w:eastAsia="Calibri" w:hAnsi="Calibri" w:cs="Calibri"/>
        </w:rPr>
        <w:t>g</w:t>
      </w:r>
      <w:r w:rsidR="00F35708">
        <w:rPr>
          <w:rFonts w:ascii="Calibri" w:eastAsia="Calibri" w:hAnsi="Calibri" w:cs="Calibri"/>
        </w:rPr>
        <w:t xml:space="preserve"> zelf </w:t>
      </w:r>
      <w:r w:rsidR="002C103D">
        <w:rPr>
          <w:rFonts w:ascii="Calibri" w:eastAsia="Calibri" w:hAnsi="Calibri" w:cs="Calibri"/>
        </w:rPr>
        <w:t>het recht heeft om kort gezegd clustermunitie te gebruik</w:t>
      </w:r>
      <w:r w:rsidR="00C95650">
        <w:rPr>
          <w:rFonts w:ascii="Calibri" w:eastAsia="Calibri" w:hAnsi="Calibri" w:cs="Calibri"/>
        </w:rPr>
        <w:t>en</w:t>
      </w:r>
      <w:r w:rsidR="002C103D">
        <w:rPr>
          <w:rFonts w:ascii="Calibri" w:eastAsia="Calibri" w:hAnsi="Calibri" w:cs="Calibri"/>
        </w:rPr>
        <w:t>, te maken of</w:t>
      </w:r>
      <w:r w:rsidR="00F35708">
        <w:rPr>
          <w:rFonts w:ascii="Calibri" w:eastAsia="Calibri" w:hAnsi="Calibri" w:cs="Calibri"/>
        </w:rPr>
        <w:t xml:space="preserve"> </w:t>
      </w:r>
      <w:r w:rsidR="002C103D">
        <w:rPr>
          <w:rFonts w:ascii="Calibri" w:eastAsia="Calibri" w:hAnsi="Calibri" w:cs="Calibri"/>
        </w:rPr>
        <w:t>andere</w:t>
      </w:r>
      <w:r w:rsidR="00350D80">
        <w:rPr>
          <w:rFonts w:ascii="Calibri" w:eastAsia="Calibri" w:hAnsi="Calibri" w:cs="Calibri"/>
        </w:rPr>
        <w:t>n</w:t>
      </w:r>
      <w:r w:rsidR="002C103D">
        <w:rPr>
          <w:rFonts w:ascii="Calibri" w:eastAsia="Calibri" w:hAnsi="Calibri" w:cs="Calibri"/>
        </w:rPr>
        <w:t xml:space="preserve"> </w:t>
      </w:r>
      <w:r w:rsidR="009832CE">
        <w:rPr>
          <w:rFonts w:ascii="Calibri" w:eastAsia="Calibri" w:hAnsi="Calibri" w:cs="Calibri"/>
        </w:rPr>
        <w:t xml:space="preserve">te verzoeken het te gebruiken. </w:t>
      </w:r>
      <w:r w:rsidR="00A53FF5">
        <w:rPr>
          <w:rFonts w:ascii="Calibri" w:eastAsia="Calibri" w:hAnsi="Calibri" w:cs="Calibri"/>
        </w:rPr>
        <w:t xml:space="preserve">Artikel 21 lid 2 </w:t>
      </w:r>
      <w:r w:rsidR="00C85D6B">
        <w:rPr>
          <w:rFonts w:ascii="Calibri" w:eastAsia="Calibri" w:hAnsi="Calibri" w:cs="Calibri"/>
        </w:rPr>
        <w:t xml:space="preserve">CCM </w:t>
      </w:r>
      <w:r w:rsidR="00A53FF5">
        <w:rPr>
          <w:rFonts w:ascii="Calibri" w:eastAsia="Calibri" w:hAnsi="Calibri" w:cs="Calibri"/>
        </w:rPr>
        <w:t xml:space="preserve">schept voorts inspanningsverplichtingen voor een </w:t>
      </w:r>
      <w:r w:rsidR="004937F1">
        <w:rPr>
          <w:rFonts w:ascii="Calibri" w:eastAsia="Calibri" w:hAnsi="Calibri" w:cs="Calibri"/>
        </w:rPr>
        <w:t>verdragsstaat</w:t>
      </w:r>
      <w:r w:rsidR="00A53FF5">
        <w:rPr>
          <w:rFonts w:ascii="Calibri" w:eastAsia="Calibri" w:hAnsi="Calibri" w:cs="Calibri"/>
        </w:rPr>
        <w:t xml:space="preserve"> die</w:t>
      </w:r>
      <w:r w:rsidR="004937F1">
        <w:rPr>
          <w:rFonts w:ascii="Calibri" w:eastAsia="Calibri" w:hAnsi="Calibri" w:cs="Calibri"/>
        </w:rPr>
        <w:t xml:space="preserve"> op militair gebied samenwerkt met een niet-verdragsstaat (als bedoel</w:t>
      </w:r>
      <w:r w:rsidR="008E6DE0">
        <w:rPr>
          <w:rFonts w:ascii="Calibri" w:eastAsia="Calibri" w:hAnsi="Calibri" w:cs="Calibri"/>
        </w:rPr>
        <w:t>d</w:t>
      </w:r>
      <w:r w:rsidR="004937F1">
        <w:rPr>
          <w:rFonts w:ascii="Calibri" w:eastAsia="Calibri" w:hAnsi="Calibri" w:cs="Calibri"/>
        </w:rPr>
        <w:t xml:space="preserve"> in lid 3)</w:t>
      </w:r>
      <w:r w:rsidR="00C85D6B">
        <w:rPr>
          <w:rFonts w:ascii="Calibri" w:eastAsia="Calibri" w:hAnsi="Calibri" w:cs="Calibri"/>
        </w:rPr>
        <w:t xml:space="preserve"> om deze te informeren over zijn verdragsverplichtingen,</w:t>
      </w:r>
      <w:r w:rsidR="00704F54">
        <w:rPr>
          <w:rFonts w:ascii="Calibri" w:eastAsia="Calibri" w:hAnsi="Calibri" w:cs="Calibri"/>
        </w:rPr>
        <w:t xml:space="preserve"> de </w:t>
      </w:r>
      <w:r w:rsidR="00346BF0">
        <w:rPr>
          <w:rFonts w:ascii="Calibri" w:eastAsia="Calibri" w:hAnsi="Calibri" w:cs="Calibri"/>
        </w:rPr>
        <w:t xml:space="preserve">daarin gelegen </w:t>
      </w:r>
      <w:r w:rsidR="00704F54">
        <w:rPr>
          <w:rFonts w:ascii="Calibri" w:eastAsia="Calibri" w:hAnsi="Calibri" w:cs="Calibri"/>
        </w:rPr>
        <w:t>normen te bevorderen en zich tot het uiterste in te spannen om de partij waarmee wordt samengewerkt te weerhouden van het gebruik van clustermunitie.</w:t>
      </w:r>
    </w:p>
    <w:p w14:paraId="152DC99A" w14:textId="0E056D71" w:rsidR="0D6F2373" w:rsidRDefault="001478A0" w:rsidP="00724FEF">
      <w:pPr>
        <w:jc w:val="both"/>
        <w:rPr>
          <w:rFonts w:ascii="Calibri" w:eastAsia="Calibri" w:hAnsi="Calibri" w:cs="Calibri"/>
        </w:rPr>
      </w:pPr>
      <w:r>
        <w:rPr>
          <w:rFonts w:ascii="Calibri" w:eastAsia="Calibri" w:hAnsi="Calibri" w:cs="Calibri"/>
        </w:rPr>
        <w:t xml:space="preserve">Hieronder wordt nader ingegaan op </w:t>
      </w:r>
      <w:r w:rsidR="00960740">
        <w:rPr>
          <w:rFonts w:ascii="Calibri" w:eastAsia="Calibri" w:hAnsi="Calibri" w:cs="Calibri"/>
        </w:rPr>
        <w:t>de onderwerpen steun aan het gebruik van clustermunitie, samenwerking op militair gebied</w:t>
      </w:r>
      <w:r w:rsidR="00786435">
        <w:rPr>
          <w:rFonts w:ascii="Calibri" w:eastAsia="Calibri" w:hAnsi="Calibri" w:cs="Calibri"/>
        </w:rPr>
        <w:t xml:space="preserve"> en de inspanningsverplichting </w:t>
      </w:r>
      <w:r w:rsidR="00A1733F">
        <w:rPr>
          <w:rFonts w:ascii="Calibri" w:eastAsia="Calibri" w:hAnsi="Calibri" w:cs="Calibri"/>
        </w:rPr>
        <w:t xml:space="preserve">om </w:t>
      </w:r>
      <w:r w:rsidR="00786435">
        <w:rPr>
          <w:rFonts w:ascii="Calibri" w:eastAsia="Calibri" w:hAnsi="Calibri" w:cs="Calibri"/>
        </w:rPr>
        <w:t xml:space="preserve">tot het uiterste te gaan om </w:t>
      </w:r>
      <w:r w:rsidR="00A1733F">
        <w:rPr>
          <w:rFonts w:ascii="Calibri" w:eastAsia="Calibri" w:hAnsi="Calibri" w:cs="Calibri"/>
        </w:rPr>
        <w:t>andere</w:t>
      </w:r>
      <w:r w:rsidR="002170CC">
        <w:rPr>
          <w:rFonts w:ascii="Calibri" w:eastAsia="Calibri" w:hAnsi="Calibri" w:cs="Calibri"/>
        </w:rPr>
        <w:t>n</w:t>
      </w:r>
      <w:r w:rsidR="00A1733F">
        <w:rPr>
          <w:rFonts w:ascii="Calibri" w:eastAsia="Calibri" w:hAnsi="Calibri" w:cs="Calibri"/>
        </w:rPr>
        <w:t xml:space="preserve"> </w:t>
      </w:r>
      <w:r w:rsidR="00786435">
        <w:rPr>
          <w:rFonts w:ascii="Calibri" w:eastAsia="Calibri" w:hAnsi="Calibri" w:cs="Calibri"/>
        </w:rPr>
        <w:t>te weer</w:t>
      </w:r>
      <w:r w:rsidR="00A1733F">
        <w:rPr>
          <w:rFonts w:ascii="Calibri" w:eastAsia="Calibri" w:hAnsi="Calibri" w:cs="Calibri"/>
        </w:rPr>
        <w:t xml:space="preserve">houden van het </w:t>
      </w:r>
      <w:r w:rsidR="00786435">
        <w:rPr>
          <w:rFonts w:ascii="Calibri" w:eastAsia="Calibri" w:hAnsi="Calibri" w:cs="Calibri"/>
        </w:rPr>
        <w:t xml:space="preserve">gebruik </w:t>
      </w:r>
      <w:r w:rsidR="00A1733F">
        <w:rPr>
          <w:rFonts w:ascii="Calibri" w:eastAsia="Calibri" w:hAnsi="Calibri" w:cs="Calibri"/>
        </w:rPr>
        <w:t>van clustermunitie.</w:t>
      </w:r>
      <w:r w:rsidR="00960740">
        <w:rPr>
          <w:rFonts w:ascii="Calibri" w:eastAsia="Calibri" w:hAnsi="Calibri" w:cs="Calibri"/>
        </w:rPr>
        <w:t xml:space="preserve"> </w:t>
      </w:r>
      <w:r w:rsidR="00704F54">
        <w:rPr>
          <w:rFonts w:ascii="Calibri" w:eastAsia="Calibri" w:hAnsi="Calibri" w:cs="Calibri"/>
        </w:rPr>
        <w:t xml:space="preserve"> </w:t>
      </w:r>
      <w:r w:rsidR="00C85D6B">
        <w:rPr>
          <w:rFonts w:ascii="Calibri" w:eastAsia="Calibri" w:hAnsi="Calibri" w:cs="Calibri"/>
        </w:rPr>
        <w:t xml:space="preserve"> </w:t>
      </w:r>
      <w:r w:rsidR="00A53FF5">
        <w:rPr>
          <w:rFonts w:ascii="Calibri" w:eastAsia="Calibri" w:hAnsi="Calibri" w:cs="Calibri"/>
        </w:rPr>
        <w:t xml:space="preserve">  </w:t>
      </w:r>
      <w:r w:rsidR="00874B9B">
        <w:rPr>
          <w:rFonts w:ascii="Calibri" w:eastAsia="Calibri" w:hAnsi="Calibri" w:cs="Calibri"/>
        </w:rPr>
        <w:t xml:space="preserve">  </w:t>
      </w:r>
      <w:r w:rsidR="00316554">
        <w:rPr>
          <w:rFonts w:ascii="Calibri" w:eastAsia="Calibri" w:hAnsi="Calibri" w:cs="Calibri"/>
        </w:rPr>
        <w:t xml:space="preserve"> </w:t>
      </w:r>
    </w:p>
    <w:p w14:paraId="3A2163F9" w14:textId="77777777" w:rsidR="00C41C1D" w:rsidRPr="00494E8D" w:rsidRDefault="00C41C1D" w:rsidP="00724FEF">
      <w:pPr>
        <w:jc w:val="both"/>
      </w:pPr>
    </w:p>
    <w:p w14:paraId="44695EDC" w14:textId="14443774" w:rsidR="000E0BC0" w:rsidRPr="00494E8D" w:rsidRDefault="007F6C0F" w:rsidP="00724FEF">
      <w:pPr>
        <w:pStyle w:val="Kop2"/>
        <w:jc w:val="both"/>
        <w:rPr>
          <w:sz w:val="22"/>
          <w:szCs w:val="22"/>
        </w:rPr>
      </w:pPr>
      <w:bookmarkStart w:id="9" w:name="_Toc185491844"/>
      <w:r>
        <w:rPr>
          <w:sz w:val="22"/>
          <w:szCs w:val="22"/>
        </w:rPr>
        <w:t xml:space="preserve">Steun aan </w:t>
      </w:r>
      <w:r w:rsidR="003B76A1">
        <w:rPr>
          <w:sz w:val="22"/>
          <w:szCs w:val="22"/>
        </w:rPr>
        <w:t>gebruik clustermunitie (resultaatsverplichting)</w:t>
      </w:r>
      <w:bookmarkEnd w:id="9"/>
      <w:r w:rsidR="003B76A1">
        <w:rPr>
          <w:sz w:val="22"/>
          <w:szCs w:val="22"/>
        </w:rPr>
        <w:t xml:space="preserve"> </w:t>
      </w:r>
    </w:p>
    <w:p w14:paraId="4A0FDF17" w14:textId="50BC2E7D" w:rsidR="00851DCD" w:rsidRDefault="00851DCD" w:rsidP="00724FEF">
      <w:pPr>
        <w:spacing w:before="240" w:after="240"/>
        <w:jc w:val="both"/>
        <w:rPr>
          <w:rFonts w:cstheme="minorBidi"/>
        </w:rPr>
      </w:pPr>
      <w:r>
        <w:rPr>
          <w:rFonts w:cstheme="minorBidi"/>
        </w:rPr>
        <w:t xml:space="preserve">Als vermeld bevat artikel 1 CCM </w:t>
      </w:r>
      <w:r w:rsidR="005E523D">
        <w:rPr>
          <w:rFonts w:cstheme="minorBidi"/>
        </w:rPr>
        <w:t xml:space="preserve">de verplichting </w:t>
      </w:r>
      <w:r w:rsidR="000A1561">
        <w:rPr>
          <w:rFonts w:cstheme="minorBidi"/>
        </w:rPr>
        <w:t>voor</w:t>
      </w:r>
      <w:r w:rsidR="005E523D">
        <w:rPr>
          <w:rFonts w:cstheme="minorBidi"/>
        </w:rPr>
        <w:t xml:space="preserve"> een verdrag</w:t>
      </w:r>
      <w:r w:rsidR="000A1561">
        <w:rPr>
          <w:rFonts w:cstheme="minorBidi"/>
        </w:rPr>
        <w:t>s</w:t>
      </w:r>
      <w:r w:rsidR="005E523D">
        <w:rPr>
          <w:rFonts w:cstheme="minorBidi"/>
        </w:rPr>
        <w:t xml:space="preserve">staat om </w:t>
      </w:r>
      <w:r w:rsidR="000A1561">
        <w:rPr>
          <w:rFonts w:cstheme="minorBidi"/>
        </w:rPr>
        <w:t>onder geen beding “</w:t>
      </w:r>
      <w:r w:rsidR="005E523D" w:rsidRPr="00494E8D">
        <w:rPr>
          <w:u w:val="single"/>
        </w:rPr>
        <w:t xml:space="preserve">enige activiteit die op grond van dit Verdrag verboden is voor een Staat die </w:t>
      </w:r>
      <w:proofErr w:type="spellStart"/>
      <w:r w:rsidR="005E523D" w:rsidRPr="00494E8D">
        <w:rPr>
          <w:u w:val="single"/>
        </w:rPr>
        <w:t>Partij</w:t>
      </w:r>
      <w:r w:rsidR="00852F85">
        <w:rPr>
          <w:u w:val="single"/>
        </w:rPr>
        <w:t>f</w:t>
      </w:r>
      <w:proofErr w:type="spellEnd"/>
      <w:r w:rsidR="005E523D" w:rsidRPr="00494E8D">
        <w:rPr>
          <w:u w:val="single"/>
        </w:rPr>
        <w:t xml:space="preserve"> te steunen</w:t>
      </w:r>
      <w:r w:rsidR="000A1561" w:rsidRPr="000A1561">
        <w:t>”</w:t>
      </w:r>
      <w:r w:rsidR="009C74DA">
        <w:t>. Het is dus verboden om steun te verlenen aan het gebruik van clustermunitie. De verplichting in artikel 1</w:t>
      </w:r>
      <w:r w:rsidR="00B4142B">
        <w:t xml:space="preserve"> lid 1 CCM betreft een resultaatsverplichting.</w:t>
      </w:r>
      <w:r w:rsidR="006D18CA">
        <w:t xml:space="preserve"> Het betreft handelen dat binnen het domein van de verdragsstaat valt en is absoluut geformuleerd. </w:t>
      </w:r>
      <w:r w:rsidR="00B4142B">
        <w:t xml:space="preserve"> </w:t>
      </w:r>
    </w:p>
    <w:p w14:paraId="1968FEBB" w14:textId="6156AEC1" w:rsidR="000E0BC0" w:rsidRPr="00494E8D" w:rsidRDefault="000E0BC0" w:rsidP="00724FEF">
      <w:pPr>
        <w:spacing w:before="240" w:after="240"/>
        <w:jc w:val="both"/>
      </w:pPr>
      <w:r>
        <w:rPr>
          <w:rFonts w:cstheme="minorBidi"/>
        </w:rPr>
        <w:t>Bij de totstandkoming van de CCM heeft d</w:t>
      </w:r>
      <w:r w:rsidRPr="00494E8D">
        <w:rPr>
          <w:rFonts w:cstheme="minorBidi"/>
        </w:rPr>
        <w:t xml:space="preserve">e Verenigde Staten van meet af aan aangegeven dat zij niet zouden toetreden. Als gevolg daarvan kleurde de vraag over de impact van de bepalingen inzake steun bij gezamenlijke militaire samenwerking het gehele onderhandelingsproces. De impact van artikel </w:t>
      </w:r>
      <w:r w:rsidR="00707C02">
        <w:rPr>
          <w:rFonts w:cstheme="minorBidi"/>
        </w:rPr>
        <w:t xml:space="preserve">1 </w:t>
      </w:r>
      <w:r w:rsidR="006C5B51">
        <w:rPr>
          <w:rFonts w:cstheme="minorBidi"/>
        </w:rPr>
        <w:t xml:space="preserve">CCM </w:t>
      </w:r>
      <w:r w:rsidR="00707C02">
        <w:rPr>
          <w:rFonts w:cstheme="minorBidi"/>
        </w:rPr>
        <w:t>o</w:t>
      </w:r>
      <w:r w:rsidRPr="00494E8D">
        <w:rPr>
          <w:rFonts w:cstheme="minorBidi"/>
        </w:rPr>
        <w:t>p interoperabiliteit bleek een belangrijk twistpunt te zijn tijdens de laatste onderhandelingen over artikel 1.</w:t>
      </w:r>
      <w:r w:rsidRPr="00494E8D">
        <w:rPr>
          <w:rStyle w:val="Voetnootmarkering"/>
          <w:rFonts w:cstheme="minorBidi"/>
        </w:rPr>
        <w:footnoteReference w:id="25"/>
      </w:r>
      <w:r w:rsidRPr="00494E8D">
        <w:rPr>
          <w:rFonts w:cstheme="minorBidi"/>
        </w:rPr>
        <w:t xml:space="preserve"> </w:t>
      </w:r>
    </w:p>
    <w:p w14:paraId="6C01197B" w14:textId="1F3CF58C" w:rsidR="000E0BC0" w:rsidRPr="00494E8D" w:rsidRDefault="000E0BC0" w:rsidP="00724FEF">
      <w:pPr>
        <w:spacing w:before="240" w:after="240"/>
        <w:jc w:val="both"/>
      </w:pPr>
      <w:r w:rsidRPr="00494E8D">
        <w:t>De eerste vraag die opkomt bij het lezen van art</w:t>
      </w:r>
      <w:r>
        <w:t>ikel</w:t>
      </w:r>
      <w:r w:rsidRPr="00494E8D">
        <w:t xml:space="preserve"> 1 CCM is of het geven van steun aan een land dat zelf geen partij is bij het verdrag, zoals Oekraïne, ook onder deze bepaling valt. </w:t>
      </w:r>
      <w:r>
        <w:t>Daar waar in de Nederlandse vertaling staat dat “enige activiteit” steunen verboden is, staat i</w:t>
      </w:r>
      <w:r w:rsidRPr="00494E8D">
        <w:t>n de</w:t>
      </w:r>
      <w:r w:rsidR="00C3595E">
        <w:t xml:space="preserve"> authentieke</w:t>
      </w:r>
      <w:r w:rsidRPr="00494E8D">
        <w:t xml:space="preserve"> Engelse versie van het verdrag “</w:t>
      </w:r>
      <w:r>
        <w:t xml:space="preserve">Assist […] </w:t>
      </w:r>
      <w:proofErr w:type="spellStart"/>
      <w:r w:rsidRPr="00494E8D">
        <w:t>anyone</w:t>
      </w:r>
      <w:proofErr w:type="spellEnd"/>
      <w:r w:rsidRPr="00494E8D">
        <w:t xml:space="preserve">”. </w:t>
      </w:r>
      <w:r>
        <w:t>Daaronder vallen dus ook landen die geen partij zijn. Dit v</w:t>
      </w:r>
      <w:r w:rsidRPr="00494E8D">
        <w:t xml:space="preserve">olgt </w:t>
      </w:r>
      <w:r>
        <w:t xml:space="preserve">ook </w:t>
      </w:r>
      <w:r w:rsidRPr="00494E8D">
        <w:t xml:space="preserve">uit het </w:t>
      </w:r>
      <w:r w:rsidR="006954DF">
        <w:t xml:space="preserve">gezaghebbend </w:t>
      </w:r>
      <w:r w:rsidRPr="00494E8D">
        <w:t xml:space="preserve">commentaar </w:t>
      </w:r>
      <w:r w:rsidR="006954DF">
        <w:t xml:space="preserve">van </w:t>
      </w:r>
      <w:proofErr w:type="spellStart"/>
      <w:r w:rsidR="006954DF" w:rsidRPr="0007005C">
        <w:t>Casey-Maslen</w:t>
      </w:r>
      <w:proofErr w:type="spellEnd"/>
      <w:r w:rsidR="006954DF" w:rsidRPr="0007005C">
        <w:t xml:space="preserve"> e.a. </w:t>
      </w:r>
      <w:r w:rsidRPr="00494E8D">
        <w:t>bij de CCM</w:t>
      </w:r>
      <w:r w:rsidR="000A6581">
        <w:t>.</w:t>
      </w:r>
      <w:r w:rsidR="000A6581" w:rsidRPr="00494E8D">
        <w:rPr>
          <w:rStyle w:val="Voetnootmarkering"/>
        </w:rPr>
        <w:footnoteReference w:id="26"/>
      </w:r>
    </w:p>
    <w:p w14:paraId="5CFD1E35" w14:textId="5D805971" w:rsidR="00066168" w:rsidRDefault="000E0BC0" w:rsidP="00724FEF">
      <w:pPr>
        <w:pStyle w:val="Tekst"/>
        <w:numPr>
          <w:ilvl w:val="0"/>
          <w:numId w:val="0"/>
        </w:numPr>
        <w:jc w:val="both"/>
      </w:pPr>
      <w:r w:rsidRPr="00494E8D">
        <w:lastRenderedPageBreak/>
        <w:t xml:space="preserve">Vervolgens rijst de vraag wat “steunen” of “assist” in </w:t>
      </w:r>
      <w:r w:rsidR="00C3595E">
        <w:t xml:space="preserve">artikel 1 </w:t>
      </w:r>
      <w:r w:rsidRPr="00494E8D">
        <w:t xml:space="preserve">precies inhoudt. </w:t>
      </w:r>
      <w:r w:rsidR="00235002">
        <w:t>Dit is niet gedefinieerd in het verdrag</w:t>
      </w:r>
      <w:r w:rsidR="00B14828">
        <w:t xml:space="preserve">. De opname van artikel 21 </w:t>
      </w:r>
      <w:r w:rsidR="00066168">
        <w:t xml:space="preserve">CCM </w:t>
      </w:r>
      <w:r w:rsidR="00B14828">
        <w:t xml:space="preserve">maakt dit zelfs </w:t>
      </w:r>
      <w:r w:rsidR="00066168">
        <w:t xml:space="preserve">lastiger om te bepalen: </w:t>
      </w:r>
    </w:p>
    <w:p w14:paraId="5B5FA199" w14:textId="77777777" w:rsidR="00066168" w:rsidRPr="0007005C" w:rsidRDefault="00066168" w:rsidP="00724FEF">
      <w:pPr>
        <w:pStyle w:val="Tekst"/>
        <w:numPr>
          <w:ilvl w:val="0"/>
          <w:numId w:val="0"/>
        </w:numPr>
        <w:ind w:left="708"/>
        <w:jc w:val="both"/>
        <w:rPr>
          <w:lang w:val="en-US"/>
        </w:rPr>
      </w:pPr>
      <w:r w:rsidRPr="0007005C">
        <w:rPr>
          <w:lang w:val="en-US"/>
        </w:rPr>
        <w:t>“The inclusion of Article 21— Relations with States not party to this Convention—and in particular its paragraphs 3 and 4, complicates the issue of what does and does not constitute assistance.</w:t>
      </w:r>
    </w:p>
    <w:p w14:paraId="7EC75234" w14:textId="77777777" w:rsidR="00066168" w:rsidRPr="0007005C" w:rsidRDefault="00066168" w:rsidP="00724FEF">
      <w:pPr>
        <w:pStyle w:val="Tekst"/>
        <w:numPr>
          <w:ilvl w:val="0"/>
          <w:numId w:val="0"/>
        </w:numPr>
        <w:ind w:left="708"/>
        <w:jc w:val="both"/>
        <w:rPr>
          <w:lang w:val="en-US"/>
        </w:rPr>
      </w:pPr>
      <w:r w:rsidRPr="0007005C">
        <w:rPr>
          <w:lang w:val="en-US"/>
        </w:rPr>
        <w:t>A State Party is prohibited from providing assistance, encouragement and inducement ‘to anyone’. [...] The three concepts are not defined in the Convention. It is, however, clear from the wording of Article 1, paragraph 1(c) that assistance, encouragement, and inducement are prohibited with regard not only to use, but also development, production, acquisition, stockpiling, retention, and transfer.”</w:t>
      </w:r>
      <w:r w:rsidRPr="00494E8D">
        <w:rPr>
          <w:rStyle w:val="Voetnootmarkering"/>
        </w:rPr>
        <w:footnoteReference w:id="27"/>
      </w:r>
    </w:p>
    <w:p w14:paraId="26C20CDD" w14:textId="59E445AD" w:rsidR="00043E48" w:rsidRPr="00494E8D" w:rsidRDefault="00043E48" w:rsidP="00724FEF">
      <w:pPr>
        <w:spacing w:before="240" w:after="240"/>
        <w:jc w:val="both"/>
      </w:pPr>
      <w:proofErr w:type="spellStart"/>
      <w:r w:rsidRPr="00494E8D">
        <w:rPr>
          <w:rFonts w:cstheme="minorBidi"/>
        </w:rPr>
        <w:t>Koningisor</w:t>
      </w:r>
      <w:proofErr w:type="spellEnd"/>
      <w:r w:rsidRPr="00494E8D">
        <w:rPr>
          <w:rFonts w:cstheme="minorBidi"/>
        </w:rPr>
        <w:t xml:space="preserve"> </w:t>
      </w:r>
      <w:r w:rsidR="00BF1CB1">
        <w:rPr>
          <w:rFonts w:cstheme="minorBidi"/>
        </w:rPr>
        <w:t xml:space="preserve">heeft </w:t>
      </w:r>
      <w:r>
        <w:rPr>
          <w:rFonts w:cstheme="minorBidi"/>
        </w:rPr>
        <w:t>geconcludeerd</w:t>
      </w:r>
      <w:r w:rsidR="00BF1CB1">
        <w:rPr>
          <w:rFonts w:cstheme="minorBidi"/>
        </w:rPr>
        <w:t xml:space="preserve"> op basis van</w:t>
      </w:r>
      <w:r w:rsidR="009524FD">
        <w:rPr>
          <w:rFonts w:cstheme="minorBidi"/>
        </w:rPr>
        <w:t xml:space="preserve"> onderzoek naar de uitleg van steun in</w:t>
      </w:r>
      <w:r w:rsidR="00BF1CB1">
        <w:rPr>
          <w:rFonts w:cstheme="minorBidi"/>
        </w:rPr>
        <w:t xml:space="preserve"> </w:t>
      </w:r>
      <w:r w:rsidR="009524FD">
        <w:rPr>
          <w:rFonts w:cstheme="minorBidi"/>
        </w:rPr>
        <w:t xml:space="preserve">meerdere verdragen </w:t>
      </w:r>
      <w:r w:rsidR="008B0149">
        <w:rPr>
          <w:rFonts w:cstheme="minorBidi"/>
        </w:rPr>
        <w:t>die</w:t>
      </w:r>
      <w:r w:rsidR="009524FD">
        <w:rPr>
          <w:rFonts w:cstheme="minorBidi"/>
        </w:rPr>
        <w:t xml:space="preserve"> </w:t>
      </w:r>
      <w:r w:rsidR="008B0149">
        <w:rPr>
          <w:rFonts w:cstheme="minorBidi"/>
        </w:rPr>
        <w:t>wapens verbieden, waaronder de CCM,</w:t>
      </w:r>
      <w:r>
        <w:rPr>
          <w:rFonts w:cstheme="minorBidi"/>
        </w:rPr>
        <w:t xml:space="preserve"> dat er</w:t>
      </w:r>
      <w:r w:rsidRPr="00494E8D">
        <w:rPr>
          <w:rFonts w:cstheme="minorBidi"/>
        </w:rPr>
        <w:t xml:space="preserve"> drie patronen</w:t>
      </w:r>
      <w:r>
        <w:rPr>
          <w:rFonts w:cstheme="minorBidi"/>
        </w:rPr>
        <w:t xml:space="preserve"> zijn</w:t>
      </w:r>
      <w:r w:rsidRPr="00494E8D">
        <w:rPr>
          <w:rFonts w:cstheme="minorBidi"/>
        </w:rPr>
        <w:t xml:space="preserve"> te herkennen:</w:t>
      </w:r>
    </w:p>
    <w:p w14:paraId="7D7440F0" w14:textId="77777777" w:rsidR="00043E48" w:rsidRPr="0007005C" w:rsidRDefault="00043E48" w:rsidP="00724FEF">
      <w:pPr>
        <w:spacing w:before="240" w:after="240"/>
        <w:ind w:left="708"/>
        <w:jc w:val="both"/>
        <w:rPr>
          <w:lang w:val="en-US"/>
        </w:rPr>
      </w:pPr>
      <w:r w:rsidRPr="0007005C">
        <w:rPr>
          <w:rFonts w:cstheme="minorBidi"/>
          <w:lang w:val="en-US"/>
        </w:rPr>
        <w:t>"</w:t>
      </w:r>
      <w:r w:rsidRPr="0007005C">
        <w:rPr>
          <w:rFonts w:cstheme="minorBidi"/>
          <w:u w:val="single"/>
          <w:lang w:val="en-US"/>
        </w:rPr>
        <w:t>First, the original assistance provision was only vaguely defined at the time of drafting, and the provision has remained ambiguous for the four decades since</w:t>
      </w:r>
      <w:r w:rsidRPr="0007005C">
        <w:rPr>
          <w:rFonts w:cstheme="minorBidi"/>
          <w:lang w:val="en-US"/>
        </w:rPr>
        <w:t xml:space="preserve">. The drafters have rarely addressed the scope of the assistance provision directly, and various states’ implementing legislation has seldom attempted to clarify its meaning. </w:t>
      </w:r>
      <w:r w:rsidRPr="0007005C">
        <w:rPr>
          <w:rFonts w:cstheme="minorBidi"/>
          <w:u w:val="single"/>
          <w:lang w:val="en-US"/>
        </w:rPr>
        <w:t>Collectively, these sources suggest that the weapons ban assistance provision has been left deliberately vague</w:t>
      </w:r>
      <w:r w:rsidRPr="0007005C">
        <w:rPr>
          <w:rFonts w:cstheme="minorBidi"/>
          <w:lang w:val="en-US"/>
        </w:rPr>
        <w:t xml:space="preserve">. </w:t>
      </w:r>
    </w:p>
    <w:p w14:paraId="6FEC4267" w14:textId="1DF6DC9B" w:rsidR="00043E48" w:rsidRPr="0007005C" w:rsidRDefault="00043E48" w:rsidP="00724FEF">
      <w:pPr>
        <w:spacing w:before="240" w:after="240"/>
        <w:ind w:left="708"/>
        <w:jc w:val="both"/>
        <w:rPr>
          <w:lang w:val="en-US"/>
        </w:rPr>
      </w:pPr>
      <w:r w:rsidRPr="0007005C">
        <w:rPr>
          <w:rFonts w:cstheme="minorBidi"/>
          <w:u w:val="single"/>
          <w:lang w:val="en-US"/>
        </w:rPr>
        <w:t>Second, states have taken advantage of this vagueness to adapt the provision to changing circumstances</w:t>
      </w:r>
      <w:r w:rsidRPr="0007005C">
        <w:rPr>
          <w:rFonts w:cstheme="minorBidi"/>
          <w:lang w:val="en-US"/>
        </w:rPr>
        <w:t xml:space="preserve">. </w:t>
      </w:r>
      <w:r w:rsidR="008B0149">
        <w:rPr>
          <w:rFonts w:cstheme="minorBidi"/>
          <w:lang w:val="en-US"/>
        </w:rPr>
        <w:t>[…]</w:t>
      </w:r>
      <w:r w:rsidRPr="0007005C">
        <w:rPr>
          <w:rFonts w:cstheme="minorBidi"/>
          <w:lang w:val="en-US"/>
        </w:rPr>
        <w:t xml:space="preserve"> </w:t>
      </w:r>
    </w:p>
    <w:p w14:paraId="55BC5623" w14:textId="77777777" w:rsidR="00043E48" w:rsidRPr="0007005C" w:rsidRDefault="00043E48" w:rsidP="00724FEF">
      <w:pPr>
        <w:spacing w:before="240" w:after="240"/>
        <w:ind w:left="708"/>
        <w:jc w:val="both"/>
        <w:rPr>
          <w:rFonts w:cstheme="minorBidi"/>
          <w:lang w:val="en-US"/>
        </w:rPr>
      </w:pPr>
      <w:r w:rsidRPr="00F61742">
        <w:rPr>
          <w:rFonts w:cstheme="minorBidi"/>
          <w:u w:val="single"/>
          <w:lang w:val="en-US"/>
        </w:rPr>
        <w:t>And finally</w:t>
      </w:r>
      <w:r w:rsidRPr="0007005C">
        <w:rPr>
          <w:rFonts w:cstheme="minorBidi"/>
          <w:lang w:val="en-US"/>
        </w:rPr>
        <w:t xml:space="preserve">, this flexibility has reduced the cost of becoming a party to weapons ban treaties. It has allowed signatory states to continue engaging in joint military operations with non-signatory states. </w:t>
      </w:r>
      <w:r w:rsidRPr="0007005C">
        <w:rPr>
          <w:rFonts w:cstheme="minorBidi"/>
          <w:u w:val="single"/>
          <w:lang w:val="en-US"/>
        </w:rPr>
        <w:t>Member states are given wide latitude to determine which acts violate the provision. This reduces the risk of a domestic political backlash over an unpopular position. It also permits states to avoid antagonizing a crucial military ally</w:t>
      </w:r>
      <w:r w:rsidRPr="0007005C">
        <w:rPr>
          <w:rFonts w:cstheme="minorBidi"/>
          <w:lang w:val="en-US"/>
        </w:rPr>
        <w:t>.”</w:t>
      </w:r>
      <w:r w:rsidRPr="00494E8D">
        <w:rPr>
          <w:rStyle w:val="Voetnootmarkering"/>
          <w:rFonts w:cstheme="minorBidi"/>
        </w:rPr>
        <w:footnoteReference w:id="28"/>
      </w:r>
    </w:p>
    <w:p w14:paraId="35416C22" w14:textId="64099918" w:rsidR="00043E48" w:rsidRDefault="00043E48" w:rsidP="00724FEF">
      <w:pPr>
        <w:pStyle w:val="Tekst"/>
        <w:numPr>
          <w:ilvl w:val="0"/>
          <w:numId w:val="0"/>
        </w:numPr>
        <w:jc w:val="both"/>
      </w:pPr>
      <w:r w:rsidRPr="00494E8D">
        <w:t>Hieruit volgt dat</w:t>
      </w:r>
      <w:r>
        <w:t xml:space="preserve"> </w:t>
      </w:r>
      <w:r w:rsidR="00595DFC">
        <w:t xml:space="preserve">de gebrekkige definitie van </w:t>
      </w:r>
      <w:r>
        <w:t>steun in</w:t>
      </w:r>
      <w:r w:rsidRPr="00494E8D">
        <w:t xml:space="preserve"> art</w:t>
      </w:r>
      <w:r>
        <w:t>ikel</w:t>
      </w:r>
      <w:r w:rsidRPr="00494E8D">
        <w:t xml:space="preserve"> 1 </w:t>
      </w:r>
      <w:r>
        <w:t>lid 1 c CCM ve</w:t>
      </w:r>
      <w:r w:rsidRPr="00494E8D">
        <w:t>rdragsstaten grote</w:t>
      </w:r>
      <w:r w:rsidR="008B0149">
        <w:t>re</w:t>
      </w:r>
      <w:r w:rsidRPr="00494E8D">
        <w:t xml:space="preserve"> flexibiliteit </w:t>
      </w:r>
      <w:r w:rsidR="008B0149">
        <w:t>geeft</w:t>
      </w:r>
      <w:r w:rsidRPr="00494E8D">
        <w:t xml:space="preserve"> om de bepaling zelf te interpreteren.</w:t>
      </w:r>
      <w:r w:rsidR="008B0149">
        <w:t xml:space="preserve"> </w:t>
      </w:r>
    </w:p>
    <w:p w14:paraId="0CB9B614" w14:textId="1A2DDFBE" w:rsidR="000E0BC0" w:rsidRPr="0007005C" w:rsidRDefault="000E0BC0" w:rsidP="00724FEF">
      <w:pPr>
        <w:pStyle w:val="Tekst"/>
        <w:numPr>
          <w:ilvl w:val="0"/>
          <w:numId w:val="0"/>
        </w:numPr>
        <w:jc w:val="both"/>
        <w:rPr>
          <w:lang w:val="en-US"/>
        </w:rPr>
      </w:pPr>
      <w:proofErr w:type="spellStart"/>
      <w:r w:rsidRPr="00494E8D">
        <w:t>Casey-Maslen</w:t>
      </w:r>
      <w:proofErr w:type="spellEnd"/>
      <w:r w:rsidRPr="00494E8D">
        <w:t xml:space="preserve"> </w:t>
      </w:r>
      <w:r w:rsidR="00235002">
        <w:t xml:space="preserve">geeft </w:t>
      </w:r>
      <w:r w:rsidR="008B0149">
        <w:t xml:space="preserve">eveneens </w:t>
      </w:r>
      <w:r w:rsidR="00235002">
        <w:t xml:space="preserve">aan </w:t>
      </w:r>
      <w:r w:rsidRPr="00494E8D">
        <w:t>dat het concept</w:t>
      </w:r>
      <w:r w:rsidR="00235002">
        <w:t xml:space="preserve"> van “</w:t>
      </w:r>
      <w:proofErr w:type="spellStart"/>
      <w:r w:rsidR="00235002">
        <w:t>assisting</w:t>
      </w:r>
      <w:proofErr w:type="spellEnd"/>
      <w:r w:rsidR="00235002">
        <w:t>”</w:t>
      </w:r>
      <w:r w:rsidR="00066168">
        <w:t xml:space="preserve"> </w:t>
      </w:r>
      <w:r w:rsidRPr="00494E8D">
        <w:t>in internationaal recht niet duidelijk gedefinieerd is.</w:t>
      </w:r>
      <w:r w:rsidR="00066168">
        <w:t xml:space="preserve"> Inzichten </w:t>
      </w:r>
      <w:r w:rsidR="00286436">
        <w:t>daarover kunnen</w:t>
      </w:r>
      <w:r w:rsidR="00D6700F">
        <w:t>,</w:t>
      </w:r>
      <w:r w:rsidR="00286436">
        <w:t xml:space="preserve"> zo stelt hij</w:t>
      </w:r>
      <w:r w:rsidR="00D6700F">
        <w:t>,</w:t>
      </w:r>
      <w:r w:rsidR="00286436">
        <w:t xml:space="preserve"> wel ontleend worden aan</w:t>
      </w:r>
      <w:r w:rsidRPr="00494E8D">
        <w:t xml:space="preserve"> art</w:t>
      </w:r>
      <w:r>
        <w:t>ikel</w:t>
      </w:r>
      <w:r w:rsidRPr="00494E8D">
        <w:t xml:space="preserve"> 16 van de draft </w:t>
      </w:r>
      <w:proofErr w:type="spellStart"/>
      <w:r w:rsidRPr="00494E8D">
        <w:t>Articles</w:t>
      </w:r>
      <w:proofErr w:type="spellEnd"/>
      <w:r w:rsidRPr="00494E8D">
        <w:t xml:space="preserve"> on </w:t>
      </w:r>
      <w:proofErr w:type="spellStart"/>
      <w:r w:rsidRPr="00494E8D">
        <w:t>Responsibility</w:t>
      </w:r>
      <w:proofErr w:type="spellEnd"/>
      <w:r w:rsidRPr="00494E8D">
        <w:t xml:space="preserve"> of </w:t>
      </w:r>
      <w:proofErr w:type="spellStart"/>
      <w:r w:rsidRPr="00494E8D">
        <w:t>States</w:t>
      </w:r>
      <w:proofErr w:type="spellEnd"/>
      <w:r w:rsidRPr="00494E8D">
        <w:t xml:space="preserve"> </w:t>
      </w:r>
      <w:proofErr w:type="spellStart"/>
      <w:r w:rsidRPr="00494E8D">
        <w:t>for</w:t>
      </w:r>
      <w:proofErr w:type="spellEnd"/>
      <w:r w:rsidRPr="00494E8D">
        <w:t xml:space="preserve"> </w:t>
      </w:r>
      <w:proofErr w:type="spellStart"/>
      <w:r w:rsidRPr="00494E8D">
        <w:t>Internationally</w:t>
      </w:r>
      <w:proofErr w:type="spellEnd"/>
      <w:r w:rsidRPr="00494E8D">
        <w:t xml:space="preserve"> </w:t>
      </w:r>
      <w:proofErr w:type="spellStart"/>
      <w:r w:rsidRPr="00494E8D">
        <w:t>Wrongful</w:t>
      </w:r>
      <w:proofErr w:type="spellEnd"/>
      <w:r w:rsidRPr="00494E8D">
        <w:t xml:space="preserve"> Acts</w:t>
      </w:r>
      <w:r w:rsidR="005C6ACD">
        <w:t xml:space="preserve"> (ondanks dat deze niet van toepassing zijn in </w:t>
      </w:r>
      <w:proofErr w:type="spellStart"/>
      <w:r w:rsidR="005C6ACD">
        <w:t>casu</w:t>
      </w:r>
      <w:proofErr w:type="spellEnd"/>
      <w:r w:rsidR="005C6ACD">
        <w:t>)</w:t>
      </w:r>
      <w:r w:rsidR="00286436">
        <w:t>.</w:t>
      </w:r>
      <w:r w:rsidR="00A9575B">
        <w:t xml:space="preserve"> </w:t>
      </w:r>
      <w:r w:rsidR="00D6700F" w:rsidRPr="0007005C">
        <w:rPr>
          <w:lang w:val="en-US"/>
        </w:rPr>
        <w:t>I</w:t>
      </w:r>
      <w:r w:rsidRPr="0007005C">
        <w:rPr>
          <w:lang w:val="en-US"/>
        </w:rPr>
        <w:t xml:space="preserve">n het </w:t>
      </w:r>
      <w:proofErr w:type="spellStart"/>
      <w:r w:rsidRPr="0007005C">
        <w:rPr>
          <w:lang w:val="en-US"/>
        </w:rPr>
        <w:t>algemeen</w:t>
      </w:r>
      <w:proofErr w:type="spellEnd"/>
      <w:r w:rsidR="00D6700F" w:rsidRPr="0007005C">
        <w:rPr>
          <w:lang w:val="en-US"/>
        </w:rPr>
        <w:t xml:space="preserve"> </w:t>
      </w:r>
      <w:proofErr w:type="spellStart"/>
      <w:r w:rsidR="00D6700F" w:rsidRPr="0007005C">
        <w:rPr>
          <w:lang w:val="en-US"/>
        </w:rPr>
        <w:t>wordt</w:t>
      </w:r>
      <w:proofErr w:type="spellEnd"/>
      <w:r w:rsidR="00D6700F" w:rsidRPr="0007005C">
        <w:rPr>
          <w:lang w:val="en-US"/>
        </w:rPr>
        <w:t xml:space="preserve"> </w:t>
      </w:r>
      <w:proofErr w:type="spellStart"/>
      <w:r w:rsidR="00D6700F" w:rsidRPr="0007005C">
        <w:rPr>
          <w:lang w:val="en-US"/>
        </w:rPr>
        <w:t>daarin</w:t>
      </w:r>
      <w:proofErr w:type="spellEnd"/>
      <w:r w:rsidRPr="0007005C">
        <w:rPr>
          <w:lang w:val="en-US"/>
        </w:rPr>
        <w:t xml:space="preserve"> met “assistance” </w:t>
      </w:r>
      <w:proofErr w:type="spellStart"/>
      <w:r w:rsidRPr="0007005C">
        <w:rPr>
          <w:lang w:val="en-US"/>
        </w:rPr>
        <w:t>bedoeld</w:t>
      </w:r>
      <w:proofErr w:type="spellEnd"/>
      <w:r w:rsidRPr="0007005C">
        <w:rPr>
          <w:lang w:val="en-US"/>
        </w:rPr>
        <w:t>:</w:t>
      </w:r>
      <w:r w:rsidRPr="00494E8D">
        <w:rPr>
          <w:rStyle w:val="Voetnootmarkering"/>
        </w:rPr>
        <w:footnoteReference w:id="29"/>
      </w:r>
      <w:r w:rsidRPr="0007005C">
        <w:rPr>
          <w:lang w:val="en-US"/>
        </w:rPr>
        <w:t xml:space="preserve"> </w:t>
      </w:r>
    </w:p>
    <w:p w14:paraId="4B8AE545" w14:textId="77777777" w:rsidR="000E0BC0" w:rsidRPr="0007005C" w:rsidRDefault="000E0BC0" w:rsidP="00724FEF">
      <w:pPr>
        <w:pStyle w:val="Tekst"/>
        <w:numPr>
          <w:ilvl w:val="0"/>
          <w:numId w:val="0"/>
        </w:numPr>
        <w:ind w:left="708"/>
        <w:jc w:val="both"/>
        <w:rPr>
          <w:lang w:val="en-US"/>
        </w:rPr>
      </w:pPr>
      <w:r w:rsidRPr="0007005C">
        <w:rPr>
          <w:lang w:val="en-US"/>
        </w:rPr>
        <w:t>“The commentary by the International Law Commission suggests that Article 16 limits the scope of responsibility for assistance in three ways. ‘</w:t>
      </w:r>
      <w:r w:rsidRPr="00E51642">
        <w:rPr>
          <w:u w:val="single"/>
          <w:lang w:val="en-US"/>
        </w:rPr>
        <w:t>First</w:t>
      </w:r>
      <w:r w:rsidRPr="0007005C">
        <w:rPr>
          <w:lang w:val="en-US"/>
        </w:rPr>
        <w:t xml:space="preserve">, the relevant State organ or agency providing aid or </w:t>
      </w:r>
      <w:r w:rsidRPr="0007005C">
        <w:rPr>
          <w:u w:val="single"/>
          <w:lang w:val="en-US"/>
        </w:rPr>
        <w:t>assistance must be aware of the circumstances making the conduct’ of the assisted State or party internationally wrongful</w:t>
      </w:r>
      <w:r w:rsidRPr="0007005C">
        <w:rPr>
          <w:lang w:val="en-US"/>
        </w:rPr>
        <w:t xml:space="preserve">. ‘The </w:t>
      </w:r>
      <w:r w:rsidRPr="00E51642">
        <w:rPr>
          <w:u w:val="single"/>
          <w:lang w:val="en-US"/>
        </w:rPr>
        <w:t>second</w:t>
      </w:r>
      <w:r w:rsidRPr="0007005C">
        <w:rPr>
          <w:lang w:val="en-US"/>
        </w:rPr>
        <w:t xml:space="preserve"> requirement is that the aid or </w:t>
      </w:r>
      <w:r w:rsidRPr="0007005C">
        <w:rPr>
          <w:u w:val="single"/>
          <w:lang w:val="en-US"/>
        </w:rPr>
        <w:lastRenderedPageBreak/>
        <w:t>assistance must be given with a view to facilitating the commission of the wrongful act, and must actually do so</w:t>
      </w:r>
      <w:r w:rsidRPr="0007005C">
        <w:rPr>
          <w:lang w:val="en-US"/>
        </w:rPr>
        <w:t xml:space="preserve">.’ </w:t>
      </w:r>
      <w:r w:rsidRPr="00E51642">
        <w:rPr>
          <w:u w:val="single"/>
          <w:lang w:val="en-US"/>
        </w:rPr>
        <w:t>Finally</w:t>
      </w:r>
      <w:r w:rsidRPr="0007005C">
        <w:rPr>
          <w:lang w:val="en-US"/>
        </w:rPr>
        <w:t xml:space="preserve">, ‘it is a necessary requirement for the responsibility of an assisting State that </w:t>
      </w:r>
      <w:r w:rsidRPr="0007005C">
        <w:rPr>
          <w:u w:val="single"/>
          <w:lang w:val="en-US"/>
        </w:rPr>
        <w:t>the conduct in question, if attributable to the assisting State, would have constituted a breach of its own international obligations</w:t>
      </w:r>
      <w:r w:rsidRPr="0007005C">
        <w:rPr>
          <w:lang w:val="en-US"/>
        </w:rPr>
        <w:t>’.</w:t>
      </w:r>
    </w:p>
    <w:p w14:paraId="2A8A7743" w14:textId="77777777" w:rsidR="000E0BC0" w:rsidRPr="0007005C" w:rsidRDefault="000E0BC0" w:rsidP="00724FEF">
      <w:pPr>
        <w:pStyle w:val="Tekst"/>
        <w:numPr>
          <w:ilvl w:val="0"/>
          <w:numId w:val="0"/>
        </w:numPr>
        <w:ind w:left="708"/>
        <w:jc w:val="both"/>
        <w:rPr>
          <w:lang w:val="en-US"/>
        </w:rPr>
      </w:pPr>
      <w:r w:rsidRPr="0007005C">
        <w:rPr>
          <w:u w:val="single"/>
          <w:lang w:val="en-US"/>
        </w:rPr>
        <w:t>It seems to follow that the threshold for ‘assistance’ is relatively high</w:t>
      </w:r>
      <w:r w:rsidRPr="0007005C">
        <w:rPr>
          <w:lang w:val="en-US"/>
        </w:rPr>
        <w:t>.”</w:t>
      </w:r>
      <w:r w:rsidRPr="00494E8D">
        <w:rPr>
          <w:rStyle w:val="Voetnootmarkering"/>
        </w:rPr>
        <w:footnoteReference w:id="30"/>
      </w:r>
    </w:p>
    <w:p w14:paraId="1D0E0E19" w14:textId="0C946C1E" w:rsidR="000E0BC0" w:rsidRDefault="000E0BC0" w:rsidP="00724FEF">
      <w:pPr>
        <w:pStyle w:val="Tekst"/>
        <w:numPr>
          <w:ilvl w:val="0"/>
          <w:numId w:val="0"/>
        </w:numPr>
        <w:jc w:val="both"/>
      </w:pPr>
      <w:r>
        <w:t xml:space="preserve">Deze </w:t>
      </w:r>
      <w:r w:rsidR="003C2D20">
        <w:t>aanknopingspunten voor de uitleg van</w:t>
      </w:r>
      <w:r>
        <w:t xml:space="preserve"> </w:t>
      </w:r>
      <w:r w:rsidR="00B56702">
        <w:t>‘</w:t>
      </w:r>
      <w:r>
        <w:t>steun</w:t>
      </w:r>
      <w:r w:rsidR="00B56702">
        <w:t>’</w:t>
      </w:r>
      <w:r>
        <w:t xml:space="preserve"> door </w:t>
      </w:r>
      <w:proofErr w:type="spellStart"/>
      <w:r>
        <w:t>Casey-Maslen</w:t>
      </w:r>
      <w:proofErr w:type="spellEnd"/>
      <w:r>
        <w:t xml:space="preserve"> stel</w:t>
      </w:r>
      <w:r w:rsidR="008B0149">
        <w:t>len</w:t>
      </w:r>
      <w:r>
        <w:t xml:space="preserve"> relatief hoge eisen </w:t>
      </w:r>
      <w:r w:rsidR="005F2A79">
        <w:t xml:space="preserve">de kwalificatie </w:t>
      </w:r>
      <w:r>
        <w:t xml:space="preserve">steun </w:t>
      </w:r>
      <w:r w:rsidR="003C2D20">
        <w:t xml:space="preserve">en </w:t>
      </w:r>
      <w:r w:rsidR="00B56702">
        <w:t>zijn</w:t>
      </w:r>
      <w:r w:rsidR="00BF37F9">
        <w:t xml:space="preserve"> </w:t>
      </w:r>
      <w:r w:rsidR="00B56702">
        <w:t>waarschijnlijk</w:t>
      </w:r>
      <w:r w:rsidR="003C2D20">
        <w:t xml:space="preserve"> hoger dan door de verdragspartijen van de CCM was beoogd. </w:t>
      </w:r>
    </w:p>
    <w:p w14:paraId="3F3F96DF" w14:textId="41DD5D36" w:rsidR="000E0BC0" w:rsidRPr="00C92AF8" w:rsidRDefault="003C2D20" w:rsidP="00724FEF">
      <w:pPr>
        <w:jc w:val="both"/>
      </w:pPr>
      <w:r>
        <w:t>Aansluiting kan</w:t>
      </w:r>
      <w:r w:rsidR="00C20509">
        <w:t xml:space="preserve"> </w:t>
      </w:r>
      <w:r w:rsidR="008940B3">
        <w:t xml:space="preserve">daarom beter </w:t>
      </w:r>
      <w:r w:rsidR="001159B3">
        <w:t xml:space="preserve">gezocht </w:t>
      </w:r>
      <w:r w:rsidR="008940B3">
        <w:t xml:space="preserve">worden </w:t>
      </w:r>
      <w:r>
        <w:t>bij</w:t>
      </w:r>
      <w:r w:rsidR="00712E7C">
        <w:t xml:space="preserve"> </w:t>
      </w:r>
      <w:r w:rsidR="00CC5DB5">
        <w:t xml:space="preserve">het </w:t>
      </w:r>
      <w:r w:rsidR="00712E7C">
        <w:t>commentaar op de</w:t>
      </w:r>
      <w:r w:rsidR="000E0BC0" w:rsidRPr="00494E8D">
        <w:t xml:space="preserve"> Chemical </w:t>
      </w:r>
      <w:proofErr w:type="spellStart"/>
      <w:r w:rsidR="000E0BC0" w:rsidRPr="00494E8D">
        <w:t>Weapons</w:t>
      </w:r>
      <w:proofErr w:type="spellEnd"/>
      <w:r w:rsidR="000E0BC0" w:rsidRPr="00494E8D">
        <w:t xml:space="preserve"> </w:t>
      </w:r>
      <w:proofErr w:type="spellStart"/>
      <w:r w:rsidR="000E0BC0" w:rsidRPr="00494E8D">
        <w:t>Convention</w:t>
      </w:r>
      <w:proofErr w:type="spellEnd"/>
      <w:r w:rsidR="000E0BC0" w:rsidRPr="00494E8D">
        <w:t xml:space="preserve"> uit 1993, </w:t>
      </w:r>
      <w:r w:rsidR="00CC5DB5">
        <w:t>nu de formulering van</w:t>
      </w:r>
      <w:r w:rsidR="000E0BC0" w:rsidRPr="00494E8D">
        <w:t xml:space="preserve"> art</w:t>
      </w:r>
      <w:r w:rsidR="00712E7C">
        <w:t>ikel</w:t>
      </w:r>
      <w:r w:rsidR="000E0BC0" w:rsidRPr="00494E8D">
        <w:t xml:space="preserve"> 1 lid 1 sub c CCM</w:t>
      </w:r>
      <w:r w:rsidR="001159B3">
        <w:t xml:space="preserve"> </w:t>
      </w:r>
      <w:r w:rsidR="00CC5DB5">
        <w:t xml:space="preserve">vrijwel identiek is </w:t>
      </w:r>
      <w:r w:rsidR="001F5C58">
        <w:t xml:space="preserve">aan </w:t>
      </w:r>
      <w:r w:rsidR="00682A09">
        <w:t xml:space="preserve">enkele bepalingen </w:t>
      </w:r>
      <w:r w:rsidR="00CC5DB5">
        <w:t xml:space="preserve">opgenomen </w:t>
      </w:r>
      <w:r w:rsidR="00682A09">
        <w:t>in dat verdrag</w:t>
      </w:r>
      <w:r w:rsidR="001159B3">
        <w:t>.</w:t>
      </w:r>
      <w:r w:rsidR="000E0BC0" w:rsidRPr="00494E8D">
        <w:rPr>
          <w:rStyle w:val="Voetnootmarkering"/>
        </w:rPr>
        <w:footnoteReference w:id="31"/>
      </w:r>
      <w:r w:rsidR="000E0BC0" w:rsidRPr="00494E8D">
        <w:t xml:space="preserve"> </w:t>
      </w:r>
      <w:r w:rsidR="009B7A3E" w:rsidRPr="009B7A3E">
        <w:rPr>
          <w:lang w:val="en-US"/>
        </w:rPr>
        <w:t>D</w:t>
      </w:r>
      <w:r w:rsidR="00B55562" w:rsidRPr="009B7A3E">
        <w:rPr>
          <w:lang w:val="en-US"/>
        </w:rPr>
        <w:t xml:space="preserve">e Chemical Weapons Convention </w:t>
      </w:r>
      <w:proofErr w:type="spellStart"/>
      <w:r w:rsidR="009B7A3E">
        <w:rPr>
          <w:lang w:val="en-US"/>
        </w:rPr>
        <w:t>bepaalt</w:t>
      </w:r>
      <w:proofErr w:type="spellEnd"/>
      <w:r w:rsidR="009B7A3E">
        <w:rPr>
          <w:lang w:val="en-US"/>
        </w:rPr>
        <w:t xml:space="preserve"> </w:t>
      </w:r>
      <w:proofErr w:type="spellStart"/>
      <w:r w:rsidR="000E0BC0" w:rsidRPr="0007005C">
        <w:rPr>
          <w:lang w:val="en-US"/>
        </w:rPr>
        <w:t>dat</w:t>
      </w:r>
      <w:proofErr w:type="spellEnd"/>
      <w:r w:rsidR="000E0BC0" w:rsidRPr="0007005C">
        <w:rPr>
          <w:lang w:val="en-US"/>
        </w:rPr>
        <w:t xml:space="preserve"> </w:t>
      </w:r>
      <w:proofErr w:type="spellStart"/>
      <w:r w:rsidR="000E0BC0" w:rsidRPr="0007005C">
        <w:rPr>
          <w:lang w:val="en-US"/>
        </w:rPr>
        <w:t>steun</w:t>
      </w:r>
      <w:proofErr w:type="spellEnd"/>
      <w:r w:rsidR="00B65773" w:rsidRPr="0007005C">
        <w:rPr>
          <w:lang w:val="en-US"/>
        </w:rPr>
        <w:t>: “</w:t>
      </w:r>
      <w:r w:rsidR="00576331" w:rsidRPr="0007005C">
        <w:rPr>
          <w:lang w:val="en-US"/>
        </w:rPr>
        <w:t xml:space="preserve">can be given by material or intellectual support </w:t>
      </w:r>
      <w:r w:rsidR="00CC5DB5">
        <w:rPr>
          <w:lang w:val="en-US"/>
        </w:rPr>
        <w:t>[</w:t>
      </w:r>
      <w:r w:rsidR="00576331" w:rsidRPr="0007005C">
        <w:rPr>
          <w:lang w:val="en-US"/>
        </w:rPr>
        <w:t>…</w:t>
      </w:r>
      <w:r w:rsidR="00CC5DB5">
        <w:rPr>
          <w:lang w:val="en-US"/>
        </w:rPr>
        <w:t>]</w:t>
      </w:r>
      <w:r w:rsidR="00576331" w:rsidRPr="0007005C">
        <w:rPr>
          <w:lang w:val="en-US"/>
        </w:rPr>
        <w:t xml:space="preserve"> but al</w:t>
      </w:r>
      <w:r w:rsidR="00134408" w:rsidRPr="0007005C">
        <w:rPr>
          <w:lang w:val="en-US"/>
        </w:rPr>
        <w:t>so fin</w:t>
      </w:r>
      <w:r w:rsidR="00576331" w:rsidRPr="0007005C">
        <w:rPr>
          <w:lang w:val="en-US"/>
        </w:rPr>
        <w:t>ancial resources, technological-scienti</w:t>
      </w:r>
      <w:r w:rsidR="00134408" w:rsidRPr="0007005C">
        <w:rPr>
          <w:rFonts w:ascii="Calibri" w:eastAsia="Calibri" w:hAnsi="Calibri" w:cs="Calibri"/>
          <w:lang w:val="en-US"/>
        </w:rPr>
        <w:t>fi</w:t>
      </w:r>
      <w:r w:rsidR="00576331" w:rsidRPr="0007005C">
        <w:rPr>
          <w:lang w:val="en-US"/>
        </w:rPr>
        <w:t xml:space="preserve">c know-how or provision of </w:t>
      </w:r>
      <w:proofErr w:type="spellStart"/>
      <w:r w:rsidR="00576331" w:rsidRPr="0007005C">
        <w:rPr>
          <w:lang w:val="en-US"/>
        </w:rPr>
        <w:t>specialised</w:t>
      </w:r>
      <w:proofErr w:type="spellEnd"/>
      <w:r w:rsidR="00576331" w:rsidRPr="0007005C">
        <w:rPr>
          <w:lang w:val="en-US"/>
        </w:rPr>
        <w:t xml:space="preserve"> personnel, military</w:t>
      </w:r>
      <w:r w:rsidR="00134408" w:rsidRPr="0007005C">
        <w:rPr>
          <w:lang w:val="en-US"/>
        </w:rPr>
        <w:t xml:space="preserve"> </w:t>
      </w:r>
      <w:r w:rsidR="00576331" w:rsidRPr="0007005C">
        <w:rPr>
          <w:lang w:val="en-US"/>
        </w:rPr>
        <w:t>instructions, etc. to anybody who is resolved to commit such prohibited activity or by support in the</w:t>
      </w:r>
      <w:r w:rsidR="00134408" w:rsidRPr="0007005C">
        <w:rPr>
          <w:lang w:val="en-US"/>
        </w:rPr>
        <w:t xml:space="preserve"> </w:t>
      </w:r>
      <w:r w:rsidR="00576331" w:rsidRPr="0007005C">
        <w:rPr>
          <w:lang w:val="en-US"/>
        </w:rPr>
        <w:t>concealment of such activities</w:t>
      </w:r>
      <w:r w:rsidR="000E0BC0" w:rsidRPr="0007005C">
        <w:rPr>
          <w:lang w:val="en-US"/>
        </w:rPr>
        <w:t>.</w:t>
      </w:r>
      <w:r w:rsidR="00B65773" w:rsidRPr="0007005C">
        <w:rPr>
          <w:lang w:val="en-US"/>
        </w:rPr>
        <w:t>”</w:t>
      </w:r>
      <w:r w:rsidR="000E0BC0" w:rsidRPr="00494E8D">
        <w:rPr>
          <w:rStyle w:val="Voetnootmarkering"/>
        </w:rPr>
        <w:footnoteReference w:id="32"/>
      </w:r>
      <w:r w:rsidR="000E0BC0" w:rsidRPr="0007005C">
        <w:rPr>
          <w:lang w:val="en-US"/>
        </w:rPr>
        <w:t xml:space="preserve"> </w:t>
      </w:r>
      <w:r w:rsidR="00EA0F2E" w:rsidRPr="00176CC7">
        <w:t>S</w:t>
      </w:r>
      <w:r w:rsidR="00BD4EE5" w:rsidRPr="00C92AF8">
        <w:t xml:space="preserve">teun </w:t>
      </w:r>
      <w:r w:rsidR="00176CC7">
        <w:t xml:space="preserve">is dus aan de orde wanneer </w:t>
      </w:r>
      <w:r w:rsidR="00BD4EE5" w:rsidRPr="00C92AF8">
        <w:t xml:space="preserve">degene </w:t>
      </w:r>
      <w:r w:rsidR="00176CC7">
        <w:t>die wordt gesteund</w:t>
      </w:r>
      <w:r w:rsidR="0075067B">
        <w:t>,</w:t>
      </w:r>
      <w:r w:rsidR="00176CC7">
        <w:t xml:space="preserve"> heeft </w:t>
      </w:r>
      <w:r w:rsidR="00BD4EE5" w:rsidRPr="00C92AF8">
        <w:t xml:space="preserve">besloten </w:t>
      </w:r>
      <w:r w:rsidR="0046632C">
        <w:t xml:space="preserve">een </w:t>
      </w:r>
      <w:r w:rsidR="00E93E8A" w:rsidRPr="00C92AF8">
        <w:t>verboden activiteit</w:t>
      </w:r>
      <w:r w:rsidR="0046632C">
        <w:t xml:space="preserve"> uit te voeren</w:t>
      </w:r>
      <w:r w:rsidR="00E93E8A" w:rsidRPr="00C92AF8">
        <w:t>.</w:t>
      </w:r>
      <w:r w:rsidR="000C55BB" w:rsidRPr="00C92AF8">
        <w:t xml:space="preserve"> </w:t>
      </w:r>
    </w:p>
    <w:p w14:paraId="56916758" w14:textId="6FAE0F12" w:rsidR="00B43558" w:rsidRDefault="000C55BB" w:rsidP="00724FEF">
      <w:pPr>
        <w:jc w:val="both"/>
      </w:pPr>
      <w:r>
        <w:t xml:space="preserve">Concrete aanknopingspunten </w:t>
      </w:r>
      <w:r w:rsidR="008940B3">
        <w:t xml:space="preserve">voor de uitleg van steun </w:t>
      </w:r>
      <w:r>
        <w:t>kunnen niet gevonden worden in jurisprudentie van N</w:t>
      </w:r>
      <w:r w:rsidR="00B43558">
        <w:t>ederlandse rechtbanken</w:t>
      </w:r>
      <w:r w:rsidR="008940B3">
        <w:t xml:space="preserve">, nu er </w:t>
      </w:r>
      <w:r>
        <w:t>voor zover bekend</w:t>
      </w:r>
      <w:r w:rsidR="008940B3">
        <w:t xml:space="preserve"> </w:t>
      </w:r>
      <w:r w:rsidR="00B43558">
        <w:t>geen relevante uitspraken</w:t>
      </w:r>
      <w:r w:rsidR="008940B3">
        <w:t xml:space="preserve"> zijn</w:t>
      </w:r>
      <w:r w:rsidR="00B43558">
        <w:t xml:space="preserve"> over </w:t>
      </w:r>
      <w:r w:rsidR="003A39D8">
        <w:t>de CCM.</w:t>
      </w:r>
    </w:p>
    <w:p w14:paraId="7E098484" w14:textId="21149B0B" w:rsidR="00830BC1" w:rsidRPr="00494E8D" w:rsidRDefault="0046632C" w:rsidP="00724FEF">
      <w:pPr>
        <w:pStyle w:val="Tekst"/>
        <w:numPr>
          <w:ilvl w:val="0"/>
          <w:numId w:val="0"/>
        </w:numPr>
        <w:jc w:val="both"/>
      </w:pPr>
      <w:r>
        <w:t xml:space="preserve">Wel is </w:t>
      </w:r>
      <w:r w:rsidR="00830BC1">
        <w:t>de uitleg door Internationale Organisaties (hierna “</w:t>
      </w:r>
      <w:proofErr w:type="spellStart"/>
      <w:r w:rsidR="00830BC1">
        <w:t>IO’s</w:t>
      </w:r>
      <w:proofErr w:type="spellEnd"/>
      <w:r w:rsidR="00830BC1">
        <w:t xml:space="preserve">”) en non-gouvernementele organisaties (hierna “ngo’s”) van belang. De </w:t>
      </w:r>
      <w:r w:rsidR="00830BC1" w:rsidRPr="00494E8D">
        <w:t xml:space="preserve">United Nations </w:t>
      </w:r>
      <w:proofErr w:type="spellStart"/>
      <w:r w:rsidR="00830BC1" w:rsidRPr="00494E8D">
        <w:t>Institute</w:t>
      </w:r>
      <w:proofErr w:type="spellEnd"/>
      <w:r w:rsidR="00830BC1" w:rsidRPr="00494E8D">
        <w:t xml:space="preserve"> </w:t>
      </w:r>
      <w:proofErr w:type="spellStart"/>
      <w:r w:rsidR="00830BC1" w:rsidRPr="00494E8D">
        <w:t>for</w:t>
      </w:r>
      <w:proofErr w:type="spellEnd"/>
      <w:r w:rsidR="00830BC1" w:rsidRPr="00494E8D">
        <w:t xml:space="preserve"> </w:t>
      </w:r>
      <w:proofErr w:type="spellStart"/>
      <w:r w:rsidR="00830BC1" w:rsidRPr="00494E8D">
        <w:t>Disarmament</w:t>
      </w:r>
      <w:proofErr w:type="spellEnd"/>
      <w:r w:rsidR="00830BC1" w:rsidRPr="00494E8D">
        <w:t xml:space="preserve"> Research (UNIDIR) </w:t>
      </w:r>
      <w:r w:rsidR="00830BC1">
        <w:t xml:space="preserve">stelt dat </w:t>
      </w:r>
      <w:r w:rsidR="00830BC1" w:rsidRPr="00494E8D">
        <w:t xml:space="preserve">met betrekking tot de </w:t>
      </w:r>
      <w:r w:rsidR="00830BC1">
        <w:t xml:space="preserve">uitleg </w:t>
      </w:r>
      <w:r w:rsidR="00830BC1" w:rsidRPr="00494E8D">
        <w:t xml:space="preserve"> van de C</w:t>
      </w:r>
      <w:r w:rsidR="00830BC1">
        <w:t>C</w:t>
      </w:r>
      <w:r w:rsidR="00830BC1" w:rsidRPr="00494E8D">
        <w:t>M:</w:t>
      </w:r>
    </w:p>
    <w:p w14:paraId="4E2DB350" w14:textId="77777777" w:rsidR="00830BC1" w:rsidRPr="0007005C" w:rsidRDefault="00830BC1" w:rsidP="00724FEF">
      <w:pPr>
        <w:pStyle w:val="Tekst"/>
        <w:numPr>
          <w:ilvl w:val="0"/>
          <w:numId w:val="0"/>
        </w:numPr>
        <w:ind w:left="708"/>
        <w:jc w:val="both"/>
        <w:rPr>
          <w:lang w:val="en-US"/>
        </w:rPr>
      </w:pPr>
      <w:r w:rsidRPr="0007005C">
        <w:rPr>
          <w:lang w:val="en-US"/>
        </w:rPr>
        <w:t xml:space="preserve">“Central to protecting the stigma and norm against cluster munitions will be influencing the interpretation of certain provisions. NGOs must promote </w:t>
      </w:r>
      <w:r w:rsidRPr="009B3CAF">
        <w:rPr>
          <w:u w:val="single"/>
          <w:lang w:val="en-US"/>
        </w:rPr>
        <w:t>the most restrictive and most far-reaching interpretation of provisions</w:t>
      </w:r>
      <w:r w:rsidRPr="0007005C">
        <w:rPr>
          <w:lang w:val="en-US"/>
        </w:rPr>
        <w:t xml:space="preserve"> in Article 1(1)(b) on transit, </w:t>
      </w:r>
      <w:r w:rsidRPr="0007005C">
        <w:rPr>
          <w:u w:val="single"/>
          <w:lang w:val="en-US"/>
        </w:rPr>
        <w:t>Article 1(1)(c) on interoperability</w:t>
      </w:r>
      <w:r w:rsidRPr="0007005C">
        <w:rPr>
          <w:lang w:val="en-US"/>
        </w:rPr>
        <w:t xml:space="preserve"> and disinvestment, the effects-based definition of cluster munitions in Article 2(2)(c),31 Article 3 on retention of cluster munitions and the positive universalization obligations in Article 21.”</w:t>
      </w:r>
      <w:r w:rsidRPr="004D6024">
        <w:rPr>
          <w:rStyle w:val="Voetnootmarkering"/>
        </w:rPr>
        <w:footnoteReference w:id="33"/>
      </w:r>
    </w:p>
    <w:p w14:paraId="4A44EB8A" w14:textId="08C8D612" w:rsidR="00830BC1" w:rsidRPr="00494E8D" w:rsidRDefault="00830BC1" w:rsidP="00724FEF">
      <w:pPr>
        <w:pStyle w:val="Tekst"/>
        <w:numPr>
          <w:ilvl w:val="0"/>
          <w:numId w:val="0"/>
        </w:numPr>
        <w:jc w:val="both"/>
      </w:pPr>
      <w:r w:rsidRPr="00494E8D">
        <w:t xml:space="preserve">Hoewel deze passage </w:t>
      </w:r>
      <w:r w:rsidR="00F65F53">
        <w:t>betrekking heeft op de rol van</w:t>
      </w:r>
      <w:r w:rsidRPr="00494E8D">
        <w:t xml:space="preserve"> </w:t>
      </w:r>
      <w:r>
        <w:t>ngo</w:t>
      </w:r>
      <w:r w:rsidRPr="00494E8D">
        <w:t>'s en niet Staten, blijkt hieruit wel de intentie om artikel 1 lid 1 sub c</w:t>
      </w:r>
      <w:r w:rsidR="00F65F53">
        <w:t xml:space="preserve"> CCM</w:t>
      </w:r>
      <w:r w:rsidRPr="00494E8D">
        <w:t xml:space="preserve"> </w:t>
      </w:r>
      <w:r w:rsidR="00BB6855">
        <w:t xml:space="preserve">uit te leggen </w:t>
      </w:r>
      <w:r w:rsidRPr="00494E8D">
        <w:t xml:space="preserve">op de meest </w:t>
      </w:r>
      <w:r w:rsidR="009B3CAF">
        <w:t>strikte</w:t>
      </w:r>
      <w:r>
        <w:t xml:space="preserve"> manier</w:t>
      </w:r>
      <w:r w:rsidR="004F470D">
        <w:t xml:space="preserve">, waaronder dus </w:t>
      </w:r>
      <w:r>
        <w:t>de</w:t>
      </w:r>
      <w:r w:rsidRPr="00494E8D">
        <w:t xml:space="preserve"> meest verstrekkende </w:t>
      </w:r>
      <w:r w:rsidR="000C4879">
        <w:t xml:space="preserve">interpretatie van </w:t>
      </w:r>
      <w:r>
        <w:t>steun</w:t>
      </w:r>
      <w:r w:rsidR="000C5032">
        <w:t xml:space="preserve">. </w:t>
      </w:r>
      <w:r w:rsidRPr="00494E8D">
        <w:t xml:space="preserve"> </w:t>
      </w:r>
    </w:p>
    <w:p w14:paraId="510CE10D" w14:textId="77777777" w:rsidR="00830BC1" w:rsidRPr="00494E8D" w:rsidRDefault="00830BC1" w:rsidP="00724FEF">
      <w:pPr>
        <w:pStyle w:val="Tekst"/>
        <w:numPr>
          <w:ilvl w:val="0"/>
          <w:numId w:val="0"/>
        </w:numPr>
        <w:jc w:val="both"/>
      </w:pPr>
      <w:r w:rsidRPr="00494E8D">
        <w:t xml:space="preserve">Human </w:t>
      </w:r>
      <w:proofErr w:type="spellStart"/>
      <w:r w:rsidRPr="00494E8D">
        <w:t>Rights</w:t>
      </w:r>
      <w:proofErr w:type="spellEnd"/>
      <w:r w:rsidRPr="00494E8D">
        <w:t xml:space="preserve"> Watch benadrukt dat een te soepele interpretatie van art</w:t>
      </w:r>
      <w:r>
        <w:t>ikel</w:t>
      </w:r>
      <w:r w:rsidRPr="00494E8D">
        <w:t xml:space="preserve"> 1 lid 1 sub c CCM bovendien in strijd kan zijn met het voorwerp en doel van het verdrag:</w:t>
      </w:r>
    </w:p>
    <w:p w14:paraId="76229A58" w14:textId="1F901E7D" w:rsidR="00830BC1" w:rsidRPr="0007005C" w:rsidRDefault="00830BC1" w:rsidP="00724FEF">
      <w:pPr>
        <w:pStyle w:val="Tekst"/>
        <w:numPr>
          <w:ilvl w:val="0"/>
          <w:numId w:val="0"/>
        </w:numPr>
        <w:ind w:left="708"/>
        <w:jc w:val="both"/>
        <w:rPr>
          <w:lang w:val="en-US"/>
        </w:rPr>
      </w:pPr>
      <w:r w:rsidRPr="0007005C">
        <w:rPr>
          <w:lang w:val="en-US"/>
        </w:rPr>
        <w:t>“Article 1(c) is necessary because prohibiting assistance</w:t>
      </w:r>
      <w:r w:rsidR="00836564">
        <w:rPr>
          <w:lang w:val="en-US"/>
        </w:rPr>
        <w:t xml:space="preserve"> […]</w:t>
      </w:r>
      <w:r w:rsidRPr="0007005C">
        <w:rPr>
          <w:lang w:val="en-US"/>
        </w:rPr>
        <w:t xml:space="preserve"> of acts that violate the convention ensures that states uphold the treaty's humanitarian object and purpose. </w:t>
      </w:r>
      <w:r w:rsidRPr="0007005C">
        <w:rPr>
          <w:u w:val="single"/>
          <w:lang w:val="en-US"/>
        </w:rPr>
        <w:t>As stated, the goal of the treaty is to minimize the civilian harm caused by cluster munitions. If states parties could facilitate the use of the weapon by assisting non-states parties in activities prohibited under the treaty, they would be acting contrary to this goal.</w:t>
      </w:r>
      <w:r w:rsidRPr="0007005C">
        <w:rPr>
          <w:lang w:val="en-US"/>
        </w:rPr>
        <w:t xml:space="preserve"> The absence of Article 1(c) would allow </w:t>
      </w:r>
      <w:r w:rsidRPr="0007005C">
        <w:rPr>
          <w:lang w:val="en-US"/>
        </w:rPr>
        <w:lastRenderedPageBreak/>
        <w:t xml:space="preserve">states parties to contribute to activity that causes civilian death and injury by cluster munitions. Because of the importance of a convention’s object and purpose, well-established treaty law requires states parties to follow a treaty “in good faith.” The Vienna Convention on the Law of Treaties (Vienna Convention) says that “[e]very treaty in force is binding upon the parties to it and must be performed by them in good faith.”25 International law considers states parties’ obligations not to frustrate the object and purpose of a treaty so important that they also exist upon signature or acknowledgement of intent to be bound by the treaty, even prior to ratification or entry into force.26 </w:t>
      </w:r>
      <w:r w:rsidRPr="0007005C">
        <w:rPr>
          <w:u w:val="single"/>
          <w:lang w:val="en-US"/>
        </w:rPr>
        <w:t>Article 1(c) promotes state parties’ commitment in good faith to ban cluster munitions and eliminate the humanitarian harm the weapons cause</w:t>
      </w:r>
      <w:r w:rsidRPr="0007005C">
        <w:rPr>
          <w:lang w:val="en-US"/>
        </w:rPr>
        <w:t>.”</w:t>
      </w:r>
      <w:r w:rsidRPr="00494E8D">
        <w:rPr>
          <w:rStyle w:val="Voetnootmarkering"/>
        </w:rPr>
        <w:footnoteReference w:id="34"/>
      </w:r>
    </w:p>
    <w:p w14:paraId="068E8699" w14:textId="547D1298" w:rsidR="00830BC1" w:rsidRPr="00494E8D" w:rsidRDefault="00830BC1" w:rsidP="00724FEF">
      <w:pPr>
        <w:pStyle w:val="Tekst"/>
        <w:numPr>
          <w:ilvl w:val="0"/>
          <w:numId w:val="0"/>
        </w:numPr>
        <w:jc w:val="both"/>
      </w:pPr>
      <w:r w:rsidRPr="00494E8D">
        <w:t xml:space="preserve">De kern van de verplichtingen die </w:t>
      </w:r>
      <w:r>
        <w:t>s</w:t>
      </w:r>
      <w:r w:rsidRPr="00494E8D">
        <w:t xml:space="preserve">taten aangaan bij het tekenen van de CCM is om de schade aan burgers die wordt veroorzaakt door clusterbommen te minimaliseren. Voorts schrijft Human </w:t>
      </w:r>
      <w:proofErr w:type="spellStart"/>
      <w:r w:rsidRPr="00494E8D">
        <w:t>Rights</w:t>
      </w:r>
      <w:proofErr w:type="spellEnd"/>
      <w:r w:rsidRPr="00494E8D">
        <w:t xml:space="preserve"> Watch over de betekenis van de term ‘assistance’:</w:t>
      </w:r>
    </w:p>
    <w:p w14:paraId="24CE5893" w14:textId="3EE19BC9" w:rsidR="00830BC1" w:rsidRDefault="00830BC1" w:rsidP="00724FEF">
      <w:pPr>
        <w:pStyle w:val="Tekst"/>
        <w:numPr>
          <w:ilvl w:val="0"/>
          <w:numId w:val="0"/>
        </w:numPr>
        <w:ind w:left="708"/>
        <w:jc w:val="both"/>
        <w:rPr>
          <w:lang w:val="en-US"/>
        </w:rPr>
      </w:pPr>
      <w:r w:rsidRPr="0007005C">
        <w:rPr>
          <w:lang w:val="en-US"/>
        </w:rPr>
        <w:t xml:space="preserve">“Despite the essential nature of Article 1(c), some states have suggested that the provision will seriously interfere with interoperability with non-states parties.29 Interpretations of the provision in the Mine Ban Treaty, however, show that it is only violated if there is a nexus between the actions of the state party and non- state party that uses cluster munitions. Interpretations of assistance provisions in past conventions suggest that Article 1(c) will allow states parties to participate in joint operations with non-states parties that have traditionally used cluster munitions. According to Stuart Maslen’s commentary on the MBT, participation in joint operations does not in and of itself amount to assistance. Maslen wrote, “[A] State Party could provide logistical support to a non-party State that, in general, uses anti-personnel mines as long as it did not furnish such support for any specific operation involving anti- personnel mines.” </w:t>
      </w:r>
      <w:r w:rsidRPr="0007005C">
        <w:rPr>
          <w:u w:val="single"/>
          <w:lang w:val="en-US"/>
        </w:rPr>
        <w:t xml:space="preserve">A violation of the provision instead requires a nexus between the action of the state party and a non-state party’s engagement in acts prohibited by the treaty, and “there is no nexus between mere participation in such an operation and any specific instance of prohibited activity.”32 </w:t>
      </w:r>
      <w:r w:rsidRPr="00701A45">
        <w:rPr>
          <w:lang w:val="en-US"/>
        </w:rPr>
        <w:t>The nexus requirement thus defines the parameters of states parties’ joint operations with non-state party landmine users</w:t>
      </w:r>
      <w:r w:rsidRPr="0007005C">
        <w:rPr>
          <w:lang w:val="en-US"/>
        </w:rPr>
        <w:t>.</w:t>
      </w:r>
      <w:r w:rsidR="00701A45" w:rsidRPr="0007005C">
        <w:rPr>
          <w:lang w:val="en-US"/>
        </w:rPr>
        <w:t>”</w:t>
      </w:r>
      <w:r w:rsidR="00701A45" w:rsidRPr="00494E8D">
        <w:rPr>
          <w:rStyle w:val="Voetnootmarkering"/>
        </w:rPr>
        <w:footnoteReference w:id="35"/>
      </w:r>
    </w:p>
    <w:p w14:paraId="6BEF8E54" w14:textId="694F4B7D" w:rsidR="00701A45" w:rsidRPr="00C92AF8" w:rsidRDefault="002C321D" w:rsidP="00724FEF">
      <w:pPr>
        <w:pStyle w:val="Tekst"/>
        <w:numPr>
          <w:ilvl w:val="0"/>
          <w:numId w:val="0"/>
        </w:numPr>
        <w:jc w:val="both"/>
      </w:pPr>
      <w:r w:rsidRPr="00C92AF8">
        <w:t xml:space="preserve">HRW vervolgt met een </w:t>
      </w:r>
      <w:r w:rsidR="009D2D84" w:rsidRPr="00C92AF8">
        <w:t xml:space="preserve">aantal </w:t>
      </w:r>
      <w:r w:rsidRPr="00C92AF8">
        <w:t>toelichting</w:t>
      </w:r>
      <w:r w:rsidR="009D2D84" w:rsidRPr="00C92AF8">
        <w:t>en</w:t>
      </w:r>
      <w:r w:rsidRPr="00C92AF8">
        <w:t xml:space="preserve"> van verdragstaten bij het </w:t>
      </w:r>
      <w:r w:rsidR="00DE75B2" w:rsidRPr="0083484E">
        <w:t>Anti-personeel landmijnenverdrag</w:t>
      </w:r>
      <w:r w:rsidR="00DE75B2">
        <w:t xml:space="preserve"> </w:t>
      </w:r>
      <w:r w:rsidR="00347C15" w:rsidRPr="00C92AF8">
        <w:t xml:space="preserve">over wanneer zij </w:t>
      </w:r>
      <w:r w:rsidR="009D2D84" w:rsidRPr="00C92AF8">
        <w:t xml:space="preserve">bepaalde steun ontoelaatbaar achten: </w:t>
      </w:r>
    </w:p>
    <w:p w14:paraId="1B28D3B3" w14:textId="3D3548AC" w:rsidR="00830BC1" w:rsidRPr="0007005C" w:rsidRDefault="009D2D84" w:rsidP="00724FEF">
      <w:pPr>
        <w:pStyle w:val="Tekst"/>
        <w:numPr>
          <w:ilvl w:val="0"/>
          <w:numId w:val="0"/>
        </w:numPr>
        <w:ind w:left="708"/>
        <w:jc w:val="both"/>
        <w:rPr>
          <w:lang w:val="en-US"/>
        </w:rPr>
      </w:pPr>
      <w:r>
        <w:rPr>
          <w:u w:val="single"/>
          <w:lang w:val="en-US"/>
        </w:rPr>
        <w:t>“</w:t>
      </w:r>
      <w:r w:rsidR="00830BC1" w:rsidRPr="0007005C">
        <w:rPr>
          <w:u w:val="single"/>
          <w:lang w:val="en-US"/>
        </w:rPr>
        <w:t>In a variety of statements, states parties have clarified what they believe the scope of the nexus is.</w:t>
      </w:r>
      <w:r w:rsidR="00830BC1" w:rsidRPr="0007005C">
        <w:rPr>
          <w:lang w:val="en-US"/>
        </w:rPr>
        <w:t>33 The United Kingdom has listed “planning with others for the use of anti-personnel mines (APM); training others for the use of APM; agreeing operational plans permitting the use of APM in combined operations; requests to non-States Parties to use APM;</w:t>
      </w:r>
      <w:r w:rsidR="00A544FC">
        <w:rPr>
          <w:lang w:val="en-US"/>
        </w:rPr>
        <w:t xml:space="preserve"> [</w:t>
      </w:r>
      <w:r w:rsidR="00830BC1" w:rsidRPr="0007005C">
        <w:rPr>
          <w:lang w:val="en-US"/>
        </w:rPr>
        <w:t>...</w:t>
      </w:r>
      <w:r w:rsidR="00A544FC">
        <w:rPr>
          <w:lang w:val="en-US"/>
        </w:rPr>
        <w:t xml:space="preserve">] </w:t>
      </w:r>
      <w:r w:rsidR="00830BC1" w:rsidRPr="0007005C">
        <w:rPr>
          <w:lang w:val="en-US"/>
        </w:rPr>
        <w:t>providing security or transport for APM</w:t>
      </w:r>
      <w:r w:rsidR="00A544FC">
        <w:rPr>
          <w:lang w:val="en-US"/>
        </w:rPr>
        <w:t xml:space="preserve"> [..</w:t>
      </w:r>
      <w:r w:rsidR="00830BC1" w:rsidRPr="0007005C">
        <w:rPr>
          <w:lang w:val="en-US"/>
        </w:rPr>
        <w:t>.</w:t>
      </w:r>
      <w:r w:rsidR="00A544FC">
        <w:rPr>
          <w:lang w:val="en-US"/>
        </w:rPr>
        <w:t>]</w:t>
      </w:r>
      <w:r w:rsidR="00830BC1" w:rsidRPr="0007005C">
        <w:rPr>
          <w:lang w:val="en-US"/>
        </w:rPr>
        <w:t>[and] accept[</w:t>
      </w:r>
      <w:proofErr w:type="spellStart"/>
      <w:r w:rsidR="00830BC1" w:rsidRPr="0007005C">
        <w:rPr>
          <w:lang w:val="en-US"/>
        </w:rPr>
        <w:t>ing</w:t>
      </w:r>
      <w:proofErr w:type="spellEnd"/>
      <w:r w:rsidR="00830BC1" w:rsidRPr="0007005C">
        <w:rPr>
          <w:lang w:val="en-US"/>
        </w:rPr>
        <w:t xml:space="preserve">] orders that amount to assistance in the use of APM” as among “unacceptable activities” under Article 1 of the MBT.34 Canada has stated that “the Canadian Forces may not request, even indirectly, the use of anti-personnel mines by others.”35 Defining the limitations of the provision, Sweden has said that the MBT assistance provision “ought not to be interpreted so that any kind of participation in a joint military operation with a non-party would be considered as an encouragement.”36 For example, providing medical care to a soldier injured while laying landmines falls outside the assistance provision because it does not contribute to the commission of prohibited activity.37 </w:t>
      </w:r>
      <w:r w:rsidR="00830BC1" w:rsidRPr="00CB7BB9">
        <w:rPr>
          <w:lang w:val="en-US"/>
        </w:rPr>
        <w:t xml:space="preserve">States parties have thus interpreted the assistance provision of the MBT in a way that allows </w:t>
      </w:r>
      <w:r w:rsidR="00830BC1" w:rsidRPr="00CB7BB9">
        <w:rPr>
          <w:lang w:val="en-US"/>
        </w:rPr>
        <w:lastRenderedPageBreak/>
        <w:t xml:space="preserve">them to honor both treaty commitments to reduce humanitarian harm and military commitments to support their allies. </w:t>
      </w:r>
      <w:r w:rsidR="00830BC1" w:rsidRPr="00CB7BB9">
        <w:rPr>
          <w:u w:val="single"/>
          <w:lang w:val="en-US"/>
        </w:rPr>
        <w:t>Given that the cluster munitions convention uses virtually identical language to that of the MBT, this interpretation of assistance should apply equally to the cluster munitions context</w:t>
      </w:r>
      <w:r w:rsidR="00830BC1" w:rsidRPr="0007005C">
        <w:rPr>
          <w:lang w:val="en-US"/>
        </w:rPr>
        <w:t>.”</w:t>
      </w:r>
      <w:r w:rsidR="00830BC1" w:rsidRPr="00494E8D">
        <w:rPr>
          <w:rStyle w:val="Voetnootmarkering"/>
        </w:rPr>
        <w:footnoteReference w:id="36"/>
      </w:r>
    </w:p>
    <w:p w14:paraId="3C3148A5" w14:textId="0FA9F114" w:rsidR="00830BC1" w:rsidRDefault="00830BC1" w:rsidP="00724FEF">
      <w:pPr>
        <w:pStyle w:val="Tekst"/>
        <w:numPr>
          <w:ilvl w:val="0"/>
          <w:numId w:val="0"/>
        </w:numPr>
        <w:jc w:val="both"/>
      </w:pPr>
      <w:r>
        <w:t>De uitleg in de context van anti-personeel</w:t>
      </w:r>
      <w:r w:rsidR="00DE75B2">
        <w:t xml:space="preserve"> land</w:t>
      </w:r>
      <w:r>
        <w:t xml:space="preserve">mijnen kan </w:t>
      </w:r>
      <w:r w:rsidR="00C02574">
        <w:t xml:space="preserve">derhalve </w:t>
      </w:r>
      <w:r>
        <w:t xml:space="preserve">ook worden toegepast op clustermunitie. </w:t>
      </w:r>
      <w:r w:rsidRPr="00494E8D">
        <w:t xml:space="preserve">Deze interpretatie toont aan dat een schending van deze bepaling een duidelijke en directe </w:t>
      </w:r>
      <w:proofErr w:type="spellStart"/>
      <w:r w:rsidRPr="00494E8D">
        <w:t>nexus</w:t>
      </w:r>
      <w:proofErr w:type="spellEnd"/>
      <w:r w:rsidRPr="00494E8D">
        <w:t xml:space="preserve"> vereist tussen de acties van een verdragsstaat en de acties van de niet-verdragsstaat die verboden zijn onder de CCM. </w:t>
      </w:r>
      <w:r w:rsidR="001C08D4">
        <w:t xml:space="preserve">Hoewel </w:t>
      </w:r>
      <w:r>
        <w:t>s</w:t>
      </w:r>
      <w:r w:rsidRPr="00494E8D">
        <w:t xml:space="preserve">taten </w:t>
      </w:r>
      <w:r w:rsidR="001C08D4">
        <w:t xml:space="preserve">de </w:t>
      </w:r>
      <w:proofErr w:type="spellStart"/>
      <w:r w:rsidR="001C08D4">
        <w:t>n</w:t>
      </w:r>
      <w:r w:rsidR="00FC3198">
        <w:t>e</w:t>
      </w:r>
      <w:r w:rsidR="001C08D4">
        <w:t>xus</w:t>
      </w:r>
      <w:proofErr w:type="spellEnd"/>
      <w:r w:rsidR="001C08D4">
        <w:t xml:space="preserve"> </w:t>
      </w:r>
      <w:r w:rsidR="00FC3198">
        <w:t xml:space="preserve">niet eenduidig </w:t>
      </w:r>
      <w:r w:rsidR="001C08D4">
        <w:t xml:space="preserve">uitleggen, </w:t>
      </w:r>
      <w:r w:rsidR="00FC3198">
        <w:t xml:space="preserve">is </w:t>
      </w:r>
      <w:r w:rsidR="001279E2">
        <w:t xml:space="preserve">een aantal </w:t>
      </w:r>
      <w:r w:rsidR="00FC3198">
        <w:t xml:space="preserve">van mening dat </w:t>
      </w:r>
      <w:r w:rsidRPr="00494E8D">
        <w:t xml:space="preserve">het verbod op steun </w:t>
      </w:r>
      <w:r w:rsidR="001279E2">
        <w:t xml:space="preserve">zo </w:t>
      </w:r>
      <w:r w:rsidR="00C46171">
        <w:t xml:space="preserve">moet worden begrepen </w:t>
      </w:r>
      <w:r w:rsidRPr="00494E8D">
        <w:t xml:space="preserve">dat </w:t>
      </w:r>
      <w:r>
        <w:t>s</w:t>
      </w:r>
      <w:r w:rsidRPr="00494E8D">
        <w:t xml:space="preserve">taten tegelijkertijd hun verdragsverplichtingen moeten kunnen nakomen en </w:t>
      </w:r>
      <w:r>
        <w:t>op militair gebied moeten kunnen samenwerken (ook met niet-</w:t>
      </w:r>
      <w:r w:rsidRPr="00494E8D">
        <w:t>verdragsstat</w:t>
      </w:r>
      <w:r>
        <w:t xml:space="preserve">en). </w:t>
      </w:r>
    </w:p>
    <w:p w14:paraId="400E0C15" w14:textId="4304D6A0" w:rsidR="00D932B8" w:rsidRDefault="00D932B8" w:rsidP="00724FEF">
      <w:pPr>
        <w:pStyle w:val="Tekst"/>
        <w:numPr>
          <w:ilvl w:val="0"/>
          <w:numId w:val="0"/>
        </w:numPr>
        <w:jc w:val="both"/>
      </w:pPr>
      <w:r>
        <w:t xml:space="preserve">In de literatuur heeft Philipp </w:t>
      </w:r>
      <w:proofErr w:type="spellStart"/>
      <w:r>
        <w:t>Aust</w:t>
      </w:r>
      <w:proofErr w:type="spellEnd"/>
      <w:r>
        <w:t xml:space="preserve"> </w:t>
      </w:r>
      <w:r w:rsidR="000927CB">
        <w:t>betoogd</w:t>
      </w:r>
      <w:r>
        <w:t xml:space="preserve"> </w:t>
      </w:r>
      <w:r w:rsidR="00CB0BCD">
        <w:t xml:space="preserve">dat </w:t>
      </w:r>
      <w:r w:rsidR="00C35D5B">
        <w:t xml:space="preserve">verdragsstaten </w:t>
      </w:r>
      <w:r w:rsidR="000927CB">
        <w:t>bij de</w:t>
      </w:r>
      <w:r w:rsidR="00C35D5B">
        <w:t xml:space="preserve"> CCM </w:t>
      </w:r>
      <w:r w:rsidR="00522B12">
        <w:t xml:space="preserve">moeten </w:t>
      </w:r>
      <w:r w:rsidR="00CB0BCD">
        <w:t>insisteren</w:t>
      </w:r>
      <w:r w:rsidR="00BF501A">
        <w:t>,</w:t>
      </w:r>
      <w:r w:rsidR="00CB0BCD">
        <w:t xml:space="preserve"> </w:t>
      </w:r>
      <w:r w:rsidR="000927CB">
        <w:t xml:space="preserve">dat </w:t>
      </w:r>
      <w:r w:rsidR="00CB0BCD">
        <w:t xml:space="preserve">door hen geleverde </w:t>
      </w:r>
      <w:r w:rsidR="000927CB">
        <w:t xml:space="preserve">militaire goederen niet gebruikt mogen worden in operaties waarbij clustermunitie wordt ingezet, in het bijzonder als </w:t>
      </w:r>
      <w:r w:rsidR="00BE75B4">
        <w:t xml:space="preserve">met </w:t>
      </w:r>
      <w:r w:rsidR="000927CB">
        <w:t xml:space="preserve">de geleverde wapens clustermunitie </w:t>
      </w:r>
      <w:r w:rsidR="00BE75B4">
        <w:t xml:space="preserve">kan worden </w:t>
      </w:r>
      <w:r w:rsidR="000927CB">
        <w:t>af</w:t>
      </w:r>
      <w:r w:rsidR="00BE75B4">
        <w:t>geworpen</w:t>
      </w:r>
      <w:r>
        <w:t xml:space="preserve">: </w:t>
      </w:r>
    </w:p>
    <w:p w14:paraId="75F26222" w14:textId="77777777" w:rsidR="00D932B8" w:rsidRPr="00C92AF8" w:rsidRDefault="00D932B8" w:rsidP="00724FEF">
      <w:pPr>
        <w:pStyle w:val="Tekst"/>
        <w:numPr>
          <w:ilvl w:val="0"/>
          <w:numId w:val="0"/>
        </w:numPr>
        <w:ind w:left="708"/>
        <w:jc w:val="both"/>
        <w:rPr>
          <w:lang w:val="en-US"/>
        </w:rPr>
      </w:pPr>
      <w:r w:rsidRPr="00C92AF8">
        <w:rPr>
          <w:lang w:val="en-US"/>
        </w:rPr>
        <w:t xml:space="preserve">“What matters is the specific assistance provided. While the general support of Ukrainian </w:t>
      </w:r>
      <w:proofErr w:type="spellStart"/>
      <w:r w:rsidRPr="00C92AF8">
        <w:rPr>
          <w:lang w:val="en-US"/>
        </w:rPr>
        <w:t>defence</w:t>
      </w:r>
      <w:proofErr w:type="spellEnd"/>
      <w:r w:rsidRPr="00C92AF8">
        <w:rPr>
          <w:lang w:val="en-US"/>
        </w:rPr>
        <w:t xml:space="preserve"> through arms deliveries is not called into question by the use of cluster munitions, parties to the Oslo Convention </w:t>
      </w:r>
      <w:r w:rsidRPr="001A3B23">
        <w:rPr>
          <w:u w:val="single"/>
          <w:lang w:val="en-US"/>
        </w:rPr>
        <w:t>are well advised to insist that military material provided by them is not used in such operations</w:t>
      </w:r>
      <w:r w:rsidRPr="00C92AF8">
        <w:rPr>
          <w:lang w:val="en-US"/>
        </w:rPr>
        <w:t>.</w:t>
      </w:r>
      <w:r w:rsidRPr="001A3B23">
        <w:rPr>
          <w:u w:val="single"/>
          <w:lang w:val="en-US"/>
        </w:rPr>
        <w:t xml:space="preserve"> This will particularly affect situations in which military equipment capable of firing cluster munitions is supplied and possibly also jointly maintained</w:t>
      </w:r>
      <w:r w:rsidRPr="00C92AF8">
        <w:rPr>
          <w:lang w:val="en-US"/>
        </w:rPr>
        <w:t>.”</w:t>
      </w:r>
      <w:r>
        <w:rPr>
          <w:rStyle w:val="Voetnootmarkering"/>
        </w:rPr>
        <w:footnoteReference w:id="37"/>
      </w:r>
    </w:p>
    <w:p w14:paraId="1CEABF6D" w14:textId="4B88CD10" w:rsidR="00A97EC3" w:rsidRPr="00494E8D" w:rsidRDefault="00A97EC3" w:rsidP="00724FEF">
      <w:pPr>
        <w:pStyle w:val="Tekst"/>
        <w:numPr>
          <w:ilvl w:val="0"/>
          <w:numId w:val="0"/>
        </w:numPr>
        <w:jc w:val="both"/>
      </w:pPr>
      <w:r>
        <w:t xml:space="preserve">Nu </w:t>
      </w:r>
      <w:r w:rsidR="00AB10B2">
        <w:t xml:space="preserve">het doel van de CCM is </w:t>
      </w:r>
      <w:r w:rsidRPr="00494E8D">
        <w:t>om schade aan burgers door clusterbommen te minimaliseren</w:t>
      </w:r>
      <w:r w:rsidR="00AB10B2">
        <w:t xml:space="preserve"> en er op de Staat een resultaatsverplichting rust om geen steun te verlenen aan landen die clustermunitie gebruiken</w:t>
      </w:r>
      <w:r w:rsidR="002A295D">
        <w:t>,</w:t>
      </w:r>
      <w:r w:rsidR="00AB10B2">
        <w:t xml:space="preserve"> </w:t>
      </w:r>
      <w:r w:rsidR="009C6E08">
        <w:t xml:space="preserve">is </w:t>
      </w:r>
      <w:r w:rsidR="00AB10B2">
        <w:t xml:space="preserve">de Staat op grond van artikel 1 </w:t>
      </w:r>
      <w:r w:rsidR="002A7C48">
        <w:t xml:space="preserve">lid 1 CCM verplicht zich te onthouden van ieder handelen dat </w:t>
      </w:r>
      <w:r w:rsidRPr="00494E8D">
        <w:t xml:space="preserve">het risico </w:t>
      </w:r>
      <w:r w:rsidR="009C6E08">
        <w:t xml:space="preserve">op </w:t>
      </w:r>
      <w:r w:rsidRPr="00494E8D">
        <w:t xml:space="preserve">schade </w:t>
      </w:r>
      <w:r w:rsidR="000A78D6">
        <w:t>verhoog</w:t>
      </w:r>
      <w:r w:rsidR="009E4B48">
        <w:t>t</w:t>
      </w:r>
      <w:r w:rsidR="0067085E">
        <w:t>,</w:t>
      </w:r>
      <w:r w:rsidR="000A78D6">
        <w:t xml:space="preserve"> en </w:t>
      </w:r>
      <w:r w:rsidR="0067085E">
        <w:t xml:space="preserve">datgene te doen </w:t>
      </w:r>
      <w:r w:rsidR="000A78D6">
        <w:t xml:space="preserve">binnen </w:t>
      </w:r>
      <w:r w:rsidR="0067085E">
        <w:t xml:space="preserve">zijn </w:t>
      </w:r>
      <w:r w:rsidR="000A78D6">
        <w:t>macht om</w:t>
      </w:r>
      <w:r w:rsidR="00397F20">
        <w:t xml:space="preserve"> dit risico</w:t>
      </w:r>
      <w:r w:rsidRPr="00494E8D">
        <w:t xml:space="preserve"> </w:t>
      </w:r>
      <w:r w:rsidR="00AB10B2">
        <w:t>te voorkomen</w:t>
      </w:r>
      <w:r w:rsidR="00397F20">
        <w:t>, dan wel maximaal te</w:t>
      </w:r>
      <w:r w:rsidR="00AB10B2">
        <w:t xml:space="preserve"> beperken</w:t>
      </w:r>
      <w:r w:rsidR="00397F20">
        <w:t>.</w:t>
      </w:r>
      <w:r w:rsidR="00AB10B2">
        <w:t xml:space="preserve"> </w:t>
      </w:r>
    </w:p>
    <w:p w14:paraId="35014BDB" w14:textId="77777777" w:rsidR="00055A8C" w:rsidRPr="00494E8D" w:rsidRDefault="00055A8C" w:rsidP="00724FEF">
      <w:pPr>
        <w:pStyle w:val="Tekst"/>
        <w:numPr>
          <w:ilvl w:val="0"/>
          <w:numId w:val="0"/>
        </w:numPr>
        <w:jc w:val="both"/>
      </w:pPr>
    </w:p>
    <w:p w14:paraId="0B9C1620" w14:textId="11AEBF4B" w:rsidR="00830BC1" w:rsidRPr="00494E8D" w:rsidRDefault="00830BC1" w:rsidP="00724FEF">
      <w:pPr>
        <w:pStyle w:val="Kop3"/>
        <w:jc w:val="both"/>
      </w:pPr>
      <w:bookmarkStart w:id="10" w:name="_Toc185491845"/>
      <w:r>
        <w:t>Standpunt Staat</w:t>
      </w:r>
      <w:bookmarkEnd w:id="10"/>
    </w:p>
    <w:p w14:paraId="632E7CED" w14:textId="04AF3F22" w:rsidR="000E0BC0" w:rsidRDefault="000E0BC0" w:rsidP="00724FEF">
      <w:pPr>
        <w:jc w:val="both"/>
      </w:pPr>
      <w:r>
        <w:t xml:space="preserve">De ministers van Defensie en Buitenlandse Zaken hebben in de memorie van toelichting bij de goedkeuring de </w:t>
      </w:r>
      <w:r w:rsidRPr="0007005C">
        <w:t xml:space="preserve">CCM overwogen dat de tekst van artikel 1 lid 1 sub c was overgenomen uit het </w:t>
      </w:r>
      <w:r w:rsidRPr="0083484E">
        <w:t>Anti-personeel landmijnenverdrag</w:t>
      </w:r>
      <w:r>
        <w:t xml:space="preserve"> (ook wel Ottawa-verdrag).</w:t>
      </w:r>
      <w:r>
        <w:rPr>
          <w:rStyle w:val="Voetnootmarkering"/>
        </w:rPr>
        <w:footnoteReference w:id="38"/>
      </w:r>
      <w:r>
        <w:t xml:space="preserve"> </w:t>
      </w:r>
      <w:r w:rsidR="005F034A">
        <w:t>Zij gaven daarbij aan</w:t>
      </w:r>
      <w:r>
        <w:t xml:space="preserve"> dat deze bewoording niet zonder</w:t>
      </w:r>
      <w:r w:rsidR="00C82D62">
        <w:t xml:space="preserve"> </w:t>
      </w:r>
      <w:r>
        <w:t xml:space="preserve">meer aanvaardbaar was in de context van clustermunitie, omdat de </w:t>
      </w:r>
      <w:r w:rsidRPr="003E120D">
        <w:t xml:space="preserve">kans veel groter </w:t>
      </w:r>
      <w:r>
        <w:t>was d</w:t>
      </w:r>
      <w:r w:rsidRPr="003E120D">
        <w:t>at Nederlandse militairen betrokken raken bij een</w:t>
      </w:r>
      <w:r>
        <w:t xml:space="preserve"> </w:t>
      </w:r>
      <w:r w:rsidRPr="003E120D">
        <w:t xml:space="preserve">situatie waarin door een ander land </w:t>
      </w:r>
      <w:r>
        <w:t xml:space="preserve"> c</w:t>
      </w:r>
      <w:r w:rsidRPr="003E120D">
        <w:t xml:space="preserve">lustermunitie </w:t>
      </w:r>
      <w:r w:rsidR="005F034A">
        <w:t>werd</w:t>
      </w:r>
      <w:r w:rsidRPr="003E120D">
        <w:t xml:space="preserve"> ingezet, dan bij</w:t>
      </w:r>
      <w:r>
        <w:t xml:space="preserve"> </w:t>
      </w:r>
      <w:r w:rsidRPr="003E120D">
        <w:t xml:space="preserve">een situatie waarin door een ander land anti-personeelsmijnen </w:t>
      </w:r>
      <w:r>
        <w:t xml:space="preserve"> </w:t>
      </w:r>
      <w:r w:rsidR="00C17FEA">
        <w:t>werden</w:t>
      </w:r>
      <w:r w:rsidRPr="003E120D">
        <w:t xml:space="preserve"> ingezet.</w:t>
      </w:r>
      <w:r>
        <w:rPr>
          <w:rStyle w:val="Voetnootmarkering"/>
        </w:rPr>
        <w:footnoteReference w:id="39"/>
      </w:r>
      <w:r>
        <w:t xml:space="preserve"> </w:t>
      </w:r>
      <w:r w:rsidR="00F04A1D">
        <w:t>Tegelijkertijd is d</w:t>
      </w:r>
      <w:r>
        <w:t xml:space="preserve">e tekst </w:t>
      </w:r>
      <w:r w:rsidR="00C17FEA">
        <w:t>on</w:t>
      </w:r>
      <w:r>
        <w:t xml:space="preserve">veranderd </w:t>
      </w:r>
      <w:r w:rsidR="00C17FEA">
        <w:t>aanvaard</w:t>
      </w:r>
      <w:r w:rsidR="00E46755">
        <w:t xml:space="preserve"> door</w:t>
      </w:r>
      <w:r>
        <w:t xml:space="preserve"> de Staat</w:t>
      </w:r>
      <w:r w:rsidR="00E46755">
        <w:t xml:space="preserve"> middels zijn ratificatie</w:t>
      </w:r>
      <w:r>
        <w:t xml:space="preserve">. </w:t>
      </w:r>
    </w:p>
    <w:p w14:paraId="33284833" w14:textId="34A8116B" w:rsidR="00794CF6" w:rsidRDefault="00794CF6" w:rsidP="00724FEF">
      <w:pPr>
        <w:jc w:val="both"/>
      </w:pPr>
      <w:r>
        <w:t>Meer recentelijk in het kader van de levering van F-16 aan Oekraïne heeft de Staat het standpunt ingenomen dat het hiermee geen verboden steun levert:</w:t>
      </w:r>
    </w:p>
    <w:p w14:paraId="36C04AD0" w14:textId="27459315" w:rsidR="00830BC1" w:rsidRDefault="00830BC1" w:rsidP="00724FEF">
      <w:pPr>
        <w:ind w:left="708"/>
        <w:jc w:val="both"/>
        <w:rPr>
          <w:rFonts w:ascii="Calibri" w:eastAsia="Calibri" w:hAnsi="Calibri" w:cs="Calibri"/>
        </w:rPr>
      </w:pPr>
      <w:r w:rsidRPr="00C92AF8">
        <w:rPr>
          <w:rFonts w:ascii="Calibri" w:eastAsia="Calibri" w:hAnsi="Calibri" w:cs="Calibri"/>
        </w:rPr>
        <w:lastRenderedPageBreak/>
        <w:t>“</w:t>
      </w:r>
      <w:r w:rsidRPr="00B3182F">
        <w:rPr>
          <w:rFonts w:ascii="Calibri" w:eastAsia="Calibri" w:hAnsi="Calibri" w:cs="Calibri"/>
        </w:rPr>
        <w:t>De militaire steun die Nederland levert aan Oekraïne om zich te verdedigen tegen de Russische agressie, zoals F-16- vliegtuigen en pantserhouwitsers, kan niet worden gelijkgesteld aan het steunen van het gebruik van een bepaald soort munitie, zoals clustermunitie, door Oekraïne.</w:t>
      </w:r>
      <w:r>
        <w:rPr>
          <w:rFonts w:ascii="Calibri" w:eastAsia="Calibri" w:hAnsi="Calibri" w:cs="Calibri"/>
        </w:rPr>
        <w:t>”</w:t>
      </w:r>
      <w:r>
        <w:rPr>
          <w:rStyle w:val="Voetnootmarkering"/>
          <w:rFonts w:ascii="Calibri" w:eastAsia="Calibri" w:hAnsi="Calibri"/>
        </w:rPr>
        <w:footnoteReference w:id="40"/>
      </w:r>
    </w:p>
    <w:p w14:paraId="13179F54" w14:textId="77777777" w:rsidR="00C878F2" w:rsidRDefault="00830BC1" w:rsidP="00724FEF">
      <w:pPr>
        <w:spacing w:before="240" w:after="240"/>
        <w:jc w:val="both"/>
        <w:rPr>
          <w:rFonts w:ascii="Calibri" w:eastAsia="Calibri" w:hAnsi="Calibri" w:cs="Calibri"/>
        </w:rPr>
      </w:pPr>
      <w:r>
        <w:rPr>
          <w:rFonts w:ascii="Calibri" w:eastAsia="Calibri" w:hAnsi="Calibri" w:cs="Calibri"/>
        </w:rPr>
        <w:t xml:space="preserve">En </w:t>
      </w:r>
      <w:r w:rsidR="00C878F2">
        <w:rPr>
          <w:rFonts w:ascii="Calibri" w:eastAsia="Calibri" w:hAnsi="Calibri" w:cs="Calibri"/>
        </w:rPr>
        <w:t>verder:</w:t>
      </w:r>
    </w:p>
    <w:p w14:paraId="0A02CDB4" w14:textId="3EE5DB37" w:rsidR="00830BC1" w:rsidRDefault="00830BC1" w:rsidP="00724FEF">
      <w:pPr>
        <w:spacing w:before="240" w:after="240"/>
        <w:ind w:left="708"/>
        <w:jc w:val="both"/>
        <w:rPr>
          <w:rFonts w:ascii="Calibri" w:eastAsia="Calibri" w:hAnsi="Calibri" w:cs="Calibri"/>
        </w:rPr>
      </w:pPr>
      <w:r>
        <w:rPr>
          <w:rFonts w:ascii="Calibri" w:eastAsia="Calibri" w:hAnsi="Calibri" w:cs="Calibri"/>
        </w:rPr>
        <w:t>“</w:t>
      </w:r>
      <w:r w:rsidRPr="00850C75">
        <w:rPr>
          <w:rFonts w:ascii="Calibri" w:eastAsia="Calibri" w:hAnsi="Calibri" w:cs="Calibri"/>
        </w:rPr>
        <w:t>Op grond van artikel 1 van het Verdrag inzake</w:t>
      </w:r>
      <w:r>
        <w:rPr>
          <w:rFonts w:ascii="Calibri" w:eastAsia="Calibri" w:hAnsi="Calibri" w:cs="Calibri"/>
        </w:rPr>
        <w:t xml:space="preserve"> </w:t>
      </w:r>
      <w:r w:rsidRPr="00850C75">
        <w:rPr>
          <w:rFonts w:ascii="Calibri" w:eastAsia="Calibri" w:hAnsi="Calibri" w:cs="Calibri"/>
        </w:rPr>
        <w:t>clustermunitie is het onder andere verboden om een staat te steunen bij</w:t>
      </w:r>
      <w:r>
        <w:rPr>
          <w:rFonts w:ascii="Calibri" w:eastAsia="Calibri" w:hAnsi="Calibri" w:cs="Calibri"/>
        </w:rPr>
        <w:t xml:space="preserve"> </w:t>
      </w:r>
      <w:r w:rsidRPr="00850C75">
        <w:rPr>
          <w:rFonts w:ascii="Calibri" w:eastAsia="Calibri" w:hAnsi="Calibri" w:cs="Calibri"/>
        </w:rPr>
        <w:t>het gebruik van clustermunitie. Het leveren van middelen waarmee</w:t>
      </w:r>
      <w:r>
        <w:rPr>
          <w:rFonts w:ascii="Calibri" w:eastAsia="Calibri" w:hAnsi="Calibri" w:cs="Calibri"/>
        </w:rPr>
        <w:t xml:space="preserve"> </w:t>
      </w:r>
      <w:r w:rsidRPr="00850C75">
        <w:rPr>
          <w:rFonts w:ascii="Calibri" w:eastAsia="Calibri" w:hAnsi="Calibri" w:cs="Calibri"/>
        </w:rPr>
        <w:t>clustermunitie afgeschoten of afgeworpen zou kunnen worden, kan echter</w:t>
      </w:r>
      <w:r>
        <w:rPr>
          <w:rFonts w:ascii="Calibri" w:eastAsia="Calibri" w:hAnsi="Calibri" w:cs="Calibri"/>
        </w:rPr>
        <w:t xml:space="preserve"> </w:t>
      </w:r>
      <w:r w:rsidRPr="00850C75">
        <w:rPr>
          <w:rFonts w:ascii="Calibri" w:eastAsia="Calibri" w:hAnsi="Calibri" w:cs="Calibri"/>
        </w:rPr>
        <w:t>niet worden gelijkgesteld met het steunen van een staat bij het inzetten</w:t>
      </w:r>
      <w:r>
        <w:rPr>
          <w:rFonts w:ascii="Calibri" w:eastAsia="Calibri" w:hAnsi="Calibri" w:cs="Calibri"/>
        </w:rPr>
        <w:t xml:space="preserve"> </w:t>
      </w:r>
      <w:r w:rsidRPr="00850C75">
        <w:rPr>
          <w:rFonts w:ascii="Calibri" w:eastAsia="Calibri" w:hAnsi="Calibri" w:cs="Calibri"/>
        </w:rPr>
        <w:t>van clustermunitie.</w:t>
      </w:r>
      <w:r>
        <w:rPr>
          <w:rFonts w:ascii="Calibri" w:eastAsia="Calibri" w:hAnsi="Calibri" w:cs="Calibri"/>
        </w:rPr>
        <w:t>”</w:t>
      </w:r>
      <w:r>
        <w:rPr>
          <w:rStyle w:val="Voetnootmarkering"/>
          <w:rFonts w:ascii="Calibri" w:eastAsia="Calibri" w:hAnsi="Calibri"/>
        </w:rPr>
        <w:footnoteReference w:id="41"/>
      </w:r>
    </w:p>
    <w:p w14:paraId="171994FB" w14:textId="77777777" w:rsidR="001F3383" w:rsidRDefault="001F3383" w:rsidP="00724FEF">
      <w:pPr>
        <w:spacing w:before="240" w:after="240"/>
        <w:jc w:val="both"/>
        <w:rPr>
          <w:rFonts w:ascii="Calibri" w:eastAsia="Calibri" w:hAnsi="Calibri" w:cs="Calibri"/>
        </w:rPr>
      </w:pPr>
      <w:r>
        <w:rPr>
          <w:rFonts w:ascii="Calibri" w:eastAsia="Calibri" w:hAnsi="Calibri" w:cs="Calibri"/>
        </w:rPr>
        <w:t>De minister van Buitenlandse Zaken heeft toegelicht:</w:t>
      </w:r>
    </w:p>
    <w:p w14:paraId="289A3873" w14:textId="0B354EB8" w:rsidR="00830BC1" w:rsidRDefault="00830BC1" w:rsidP="00724FEF">
      <w:pPr>
        <w:spacing w:before="240" w:after="240"/>
        <w:ind w:left="708"/>
        <w:jc w:val="both"/>
        <w:rPr>
          <w:rFonts w:ascii="Calibri" w:eastAsia="Calibri" w:hAnsi="Calibri" w:cs="Calibri"/>
        </w:rPr>
      </w:pPr>
      <w:r>
        <w:rPr>
          <w:rFonts w:ascii="Calibri" w:eastAsia="Calibri" w:hAnsi="Calibri" w:cs="Calibri"/>
        </w:rPr>
        <w:t>“</w:t>
      </w:r>
      <w:r w:rsidRPr="00F536D7">
        <w:rPr>
          <w:rFonts w:ascii="Calibri" w:eastAsia="Calibri" w:hAnsi="Calibri" w:cs="Calibri"/>
        </w:rPr>
        <w:t>In de afweging die ten grondslag ligt aan een Nederlands besluit tot</w:t>
      </w:r>
      <w:r>
        <w:rPr>
          <w:rFonts w:ascii="Calibri" w:eastAsia="Calibri" w:hAnsi="Calibri" w:cs="Calibri"/>
        </w:rPr>
        <w:t xml:space="preserve"> </w:t>
      </w:r>
      <w:r w:rsidRPr="00F536D7">
        <w:rPr>
          <w:rFonts w:ascii="Calibri" w:eastAsia="Calibri" w:hAnsi="Calibri" w:cs="Calibri"/>
        </w:rPr>
        <w:t xml:space="preserve">levering, wordt meegewogen dat </w:t>
      </w:r>
      <w:r w:rsidRPr="00CD688E">
        <w:rPr>
          <w:rFonts w:ascii="Calibri" w:eastAsia="Calibri" w:hAnsi="Calibri" w:cs="Calibri"/>
          <w:u w:val="single"/>
        </w:rPr>
        <w:t>allerminst vaststaat</w:t>
      </w:r>
      <w:r w:rsidRPr="00F536D7">
        <w:rPr>
          <w:rFonts w:ascii="Calibri" w:eastAsia="Calibri" w:hAnsi="Calibri" w:cs="Calibri"/>
        </w:rPr>
        <w:t xml:space="preserve"> dat door Nederland</w:t>
      </w:r>
      <w:r>
        <w:rPr>
          <w:rFonts w:ascii="Calibri" w:eastAsia="Calibri" w:hAnsi="Calibri" w:cs="Calibri"/>
        </w:rPr>
        <w:t xml:space="preserve"> </w:t>
      </w:r>
      <w:r w:rsidRPr="00F536D7">
        <w:rPr>
          <w:rFonts w:ascii="Calibri" w:eastAsia="Calibri" w:hAnsi="Calibri" w:cs="Calibri"/>
        </w:rPr>
        <w:t>te leveren wapensystemen zullen worden ingezet voor het afwerpen of</w:t>
      </w:r>
      <w:r>
        <w:rPr>
          <w:rFonts w:ascii="Calibri" w:eastAsia="Calibri" w:hAnsi="Calibri" w:cs="Calibri"/>
        </w:rPr>
        <w:t xml:space="preserve"> </w:t>
      </w:r>
      <w:r w:rsidRPr="00F536D7">
        <w:rPr>
          <w:rFonts w:ascii="Calibri" w:eastAsia="Calibri" w:hAnsi="Calibri" w:cs="Calibri"/>
        </w:rPr>
        <w:t>afschieten van clustermunitie. Immers, ook vele andere soorten munitie</w:t>
      </w:r>
      <w:r>
        <w:rPr>
          <w:rFonts w:ascii="Calibri" w:eastAsia="Calibri" w:hAnsi="Calibri" w:cs="Calibri"/>
        </w:rPr>
        <w:t xml:space="preserve"> </w:t>
      </w:r>
      <w:r w:rsidRPr="00F536D7">
        <w:rPr>
          <w:rFonts w:ascii="Calibri" w:eastAsia="Calibri" w:hAnsi="Calibri" w:cs="Calibri"/>
        </w:rPr>
        <w:t>kunnen met deze wapensystemen worden afgevuurd. De verplichting van</w:t>
      </w:r>
      <w:r>
        <w:rPr>
          <w:rFonts w:ascii="Calibri" w:eastAsia="Calibri" w:hAnsi="Calibri" w:cs="Calibri"/>
        </w:rPr>
        <w:t xml:space="preserve"> </w:t>
      </w:r>
      <w:r w:rsidRPr="00F536D7">
        <w:rPr>
          <w:rFonts w:ascii="Calibri" w:eastAsia="Calibri" w:hAnsi="Calibri" w:cs="Calibri"/>
        </w:rPr>
        <w:t>Nederland op basis van het Verdrag inzake clustermunitie strekt</w:t>
      </w:r>
      <w:r>
        <w:rPr>
          <w:rFonts w:ascii="Calibri" w:eastAsia="Calibri" w:hAnsi="Calibri" w:cs="Calibri"/>
        </w:rPr>
        <w:t xml:space="preserve"> </w:t>
      </w:r>
      <w:r w:rsidRPr="00F536D7">
        <w:rPr>
          <w:rFonts w:ascii="Calibri" w:eastAsia="Calibri" w:hAnsi="Calibri" w:cs="Calibri"/>
        </w:rPr>
        <w:t>bovendien niet zover, dat het overdragen van wapensystemen waarmee</w:t>
      </w:r>
      <w:r>
        <w:rPr>
          <w:rFonts w:ascii="Calibri" w:eastAsia="Calibri" w:hAnsi="Calibri" w:cs="Calibri"/>
        </w:rPr>
        <w:t xml:space="preserve"> </w:t>
      </w:r>
      <w:r w:rsidRPr="00F536D7">
        <w:rPr>
          <w:rFonts w:ascii="Calibri" w:eastAsia="Calibri" w:hAnsi="Calibri" w:cs="Calibri"/>
        </w:rPr>
        <w:t>mogelijk ook clustermunitie zou kunnen worden afgeschoten of</w:t>
      </w:r>
      <w:r>
        <w:rPr>
          <w:rFonts w:ascii="Calibri" w:eastAsia="Calibri" w:hAnsi="Calibri" w:cs="Calibri"/>
        </w:rPr>
        <w:t xml:space="preserve"> </w:t>
      </w:r>
      <w:r w:rsidRPr="00F536D7">
        <w:rPr>
          <w:rFonts w:ascii="Calibri" w:eastAsia="Calibri" w:hAnsi="Calibri" w:cs="Calibri"/>
        </w:rPr>
        <w:t>afgeworpen onder de reikwijdte daarvan kan worden gevat.</w:t>
      </w:r>
      <w:r>
        <w:rPr>
          <w:rFonts w:ascii="Calibri" w:eastAsia="Calibri" w:hAnsi="Calibri" w:cs="Calibri"/>
        </w:rPr>
        <w:t>”</w:t>
      </w:r>
      <w:r>
        <w:rPr>
          <w:rStyle w:val="Voetnootmarkering"/>
          <w:rFonts w:ascii="Calibri" w:eastAsia="Calibri" w:hAnsi="Calibri"/>
        </w:rPr>
        <w:footnoteReference w:id="42"/>
      </w:r>
    </w:p>
    <w:p w14:paraId="21EF1A59" w14:textId="77777777" w:rsidR="008442E1" w:rsidRDefault="003C07B2" w:rsidP="00724FEF">
      <w:pPr>
        <w:spacing w:before="240" w:after="240"/>
        <w:jc w:val="both"/>
        <w:rPr>
          <w:rFonts w:ascii="Calibri" w:eastAsia="Calibri" w:hAnsi="Calibri" w:cs="Calibri"/>
        </w:rPr>
      </w:pPr>
      <w:r w:rsidRPr="00850E31">
        <w:rPr>
          <w:rFonts w:ascii="Calibri" w:eastAsia="Calibri" w:hAnsi="Calibri" w:cs="Calibri"/>
        </w:rPr>
        <w:t xml:space="preserve">Dit </w:t>
      </w:r>
      <w:r w:rsidR="00F86C97" w:rsidRPr="00850E31">
        <w:rPr>
          <w:rFonts w:ascii="Calibri" w:eastAsia="Calibri" w:hAnsi="Calibri" w:cs="Calibri"/>
        </w:rPr>
        <w:t xml:space="preserve">antwoord </w:t>
      </w:r>
      <w:r w:rsidRPr="00850E31">
        <w:rPr>
          <w:rFonts w:ascii="Calibri" w:eastAsia="Calibri" w:hAnsi="Calibri" w:cs="Calibri"/>
        </w:rPr>
        <w:t xml:space="preserve">impliceert dat </w:t>
      </w:r>
      <w:r w:rsidR="008E5DBB" w:rsidRPr="00850E31">
        <w:rPr>
          <w:rFonts w:ascii="Calibri" w:eastAsia="Calibri" w:hAnsi="Calibri" w:cs="Calibri"/>
        </w:rPr>
        <w:t xml:space="preserve">- indien </w:t>
      </w:r>
      <w:r w:rsidRPr="00850E31">
        <w:rPr>
          <w:rFonts w:ascii="Calibri" w:eastAsia="Calibri" w:hAnsi="Calibri" w:cs="Calibri"/>
        </w:rPr>
        <w:t>wel zou vaststaan</w:t>
      </w:r>
      <w:r w:rsidR="006E682B" w:rsidRPr="00850E31">
        <w:rPr>
          <w:rFonts w:ascii="Calibri" w:eastAsia="Calibri" w:hAnsi="Calibri" w:cs="Calibri"/>
        </w:rPr>
        <w:t>,</w:t>
      </w:r>
      <w:r w:rsidRPr="00850E31">
        <w:rPr>
          <w:rFonts w:ascii="Calibri" w:eastAsia="Calibri" w:hAnsi="Calibri" w:cs="Calibri"/>
        </w:rPr>
        <w:t xml:space="preserve"> of </w:t>
      </w:r>
      <w:r w:rsidR="008E5DBB" w:rsidRPr="00850E31">
        <w:rPr>
          <w:rFonts w:ascii="Calibri" w:eastAsia="Calibri" w:hAnsi="Calibri" w:cs="Calibri"/>
        </w:rPr>
        <w:t xml:space="preserve">indien </w:t>
      </w:r>
      <w:r w:rsidRPr="00850E31">
        <w:rPr>
          <w:rFonts w:ascii="Calibri" w:eastAsia="Calibri" w:hAnsi="Calibri" w:cs="Calibri"/>
        </w:rPr>
        <w:t xml:space="preserve">er duidelijke aanwijzingen </w:t>
      </w:r>
      <w:r w:rsidR="006E682B" w:rsidRPr="00850E31">
        <w:rPr>
          <w:rFonts w:ascii="Calibri" w:eastAsia="Calibri" w:hAnsi="Calibri" w:cs="Calibri"/>
        </w:rPr>
        <w:t xml:space="preserve">zijn </w:t>
      </w:r>
      <w:r w:rsidRPr="00850E31">
        <w:rPr>
          <w:rFonts w:ascii="Calibri" w:eastAsia="Calibri" w:hAnsi="Calibri" w:cs="Calibri"/>
        </w:rPr>
        <w:t xml:space="preserve">dat </w:t>
      </w:r>
      <w:r w:rsidR="005E41D3" w:rsidRPr="00850E31">
        <w:rPr>
          <w:rFonts w:ascii="Calibri" w:eastAsia="Calibri" w:hAnsi="Calibri" w:cs="Calibri"/>
        </w:rPr>
        <w:t>Oekraïne</w:t>
      </w:r>
      <w:r w:rsidR="00013505" w:rsidRPr="00850E31">
        <w:rPr>
          <w:rFonts w:ascii="Calibri" w:eastAsia="Calibri" w:hAnsi="Calibri" w:cs="Calibri"/>
        </w:rPr>
        <w:t xml:space="preserve"> </w:t>
      </w:r>
      <w:r w:rsidR="00545B1F" w:rsidRPr="00850E31">
        <w:rPr>
          <w:rFonts w:ascii="Calibri" w:eastAsia="Calibri" w:hAnsi="Calibri" w:cs="Calibri"/>
        </w:rPr>
        <w:t xml:space="preserve">(Nederlandse) </w:t>
      </w:r>
      <w:r w:rsidR="00013505" w:rsidRPr="00850E31">
        <w:rPr>
          <w:rFonts w:ascii="Calibri" w:eastAsia="Calibri" w:hAnsi="Calibri" w:cs="Calibri"/>
        </w:rPr>
        <w:t>F-16’s inzet voor het afwerpen van clustermunitie</w:t>
      </w:r>
      <w:r w:rsidR="008E5DBB" w:rsidRPr="00850E31">
        <w:rPr>
          <w:rFonts w:ascii="Calibri" w:eastAsia="Calibri" w:hAnsi="Calibri" w:cs="Calibri"/>
        </w:rPr>
        <w:t xml:space="preserve"> - </w:t>
      </w:r>
      <w:r w:rsidR="005E41D3" w:rsidRPr="00850E31">
        <w:rPr>
          <w:rFonts w:ascii="Calibri" w:eastAsia="Calibri" w:hAnsi="Calibri" w:cs="Calibri"/>
        </w:rPr>
        <w:t xml:space="preserve">dit de afweging zou veranderen. </w:t>
      </w:r>
    </w:p>
    <w:p w14:paraId="1A94FD84" w14:textId="4564FA42" w:rsidR="005F31FA" w:rsidRDefault="006E7E8F" w:rsidP="00724FEF">
      <w:pPr>
        <w:spacing w:before="240" w:after="240"/>
        <w:jc w:val="both"/>
        <w:rPr>
          <w:rFonts w:ascii="Calibri" w:eastAsia="Calibri" w:hAnsi="Calibri" w:cs="Calibri"/>
        </w:rPr>
      </w:pPr>
      <w:r>
        <w:rPr>
          <w:rFonts w:ascii="Calibri" w:eastAsia="Calibri" w:hAnsi="Calibri" w:cs="Calibri"/>
        </w:rPr>
        <w:t>Uit dit Advies volgt dat ju</w:t>
      </w:r>
      <w:r w:rsidR="00DD4E69" w:rsidRPr="00850E31">
        <w:rPr>
          <w:rFonts w:ascii="Calibri" w:eastAsia="Calibri" w:hAnsi="Calibri" w:cs="Calibri"/>
        </w:rPr>
        <w:t xml:space="preserve">ridisch </w:t>
      </w:r>
      <w:r w:rsidR="003073E4">
        <w:rPr>
          <w:rFonts w:ascii="Calibri" w:eastAsia="Calibri" w:hAnsi="Calibri" w:cs="Calibri"/>
        </w:rPr>
        <w:t xml:space="preserve">noch feitelijk </w:t>
      </w:r>
      <w:r w:rsidR="00DD4E69" w:rsidRPr="00850E31">
        <w:rPr>
          <w:rFonts w:ascii="Calibri" w:eastAsia="Calibri" w:hAnsi="Calibri" w:cs="Calibri"/>
        </w:rPr>
        <w:t xml:space="preserve">deze </w:t>
      </w:r>
      <w:r w:rsidR="008442E1">
        <w:rPr>
          <w:rFonts w:ascii="Calibri" w:eastAsia="Calibri" w:hAnsi="Calibri" w:cs="Calibri"/>
        </w:rPr>
        <w:t>formulering door de mini</w:t>
      </w:r>
      <w:r w:rsidR="00EE1EC6">
        <w:rPr>
          <w:rFonts w:ascii="Calibri" w:eastAsia="Calibri" w:hAnsi="Calibri" w:cs="Calibri"/>
        </w:rPr>
        <w:t>s</w:t>
      </w:r>
      <w:r w:rsidR="008442E1">
        <w:rPr>
          <w:rFonts w:ascii="Calibri" w:eastAsia="Calibri" w:hAnsi="Calibri" w:cs="Calibri"/>
        </w:rPr>
        <w:t xml:space="preserve">ter van </w:t>
      </w:r>
      <w:proofErr w:type="spellStart"/>
      <w:r w:rsidR="008442E1">
        <w:rPr>
          <w:rFonts w:ascii="Calibri" w:eastAsia="Calibri" w:hAnsi="Calibri" w:cs="Calibri"/>
        </w:rPr>
        <w:t>Buiza</w:t>
      </w:r>
      <w:proofErr w:type="spellEnd"/>
      <w:r w:rsidR="008442E1">
        <w:rPr>
          <w:rFonts w:ascii="Calibri" w:eastAsia="Calibri" w:hAnsi="Calibri" w:cs="Calibri"/>
        </w:rPr>
        <w:t xml:space="preserve"> </w:t>
      </w:r>
      <w:r w:rsidR="00DD4E69" w:rsidRPr="00850E31">
        <w:rPr>
          <w:rFonts w:ascii="Calibri" w:eastAsia="Calibri" w:hAnsi="Calibri" w:cs="Calibri"/>
        </w:rPr>
        <w:t>houdbaar</w:t>
      </w:r>
      <w:r>
        <w:rPr>
          <w:rFonts w:ascii="Calibri" w:eastAsia="Calibri" w:hAnsi="Calibri" w:cs="Calibri"/>
        </w:rPr>
        <w:t xml:space="preserve"> is</w:t>
      </w:r>
      <w:r w:rsidR="008E2332">
        <w:rPr>
          <w:rFonts w:ascii="Calibri" w:eastAsia="Calibri" w:hAnsi="Calibri" w:cs="Calibri"/>
        </w:rPr>
        <w:t>.</w:t>
      </w:r>
      <w:r w:rsidR="00DD4E69" w:rsidRPr="00850E31">
        <w:rPr>
          <w:rFonts w:ascii="Calibri" w:eastAsia="Calibri" w:hAnsi="Calibri" w:cs="Calibri"/>
        </w:rPr>
        <w:t xml:space="preserve"> </w:t>
      </w:r>
      <w:r w:rsidR="008442E1">
        <w:rPr>
          <w:rFonts w:ascii="Calibri" w:eastAsia="Calibri" w:hAnsi="Calibri" w:cs="Calibri"/>
        </w:rPr>
        <w:t xml:space="preserve">Daarnaast geldt dat </w:t>
      </w:r>
      <w:r w:rsidR="00FA7583" w:rsidRPr="0032298F">
        <w:rPr>
          <w:rFonts w:ascii="Calibri" w:eastAsia="Calibri" w:hAnsi="Calibri" w:cs="Calibri"/>
          <w:u w:val="single"/>
        </w:rPr>
        <w:t>v</w:t>
      </w:r>
      <w:r w:rsidR="00A30929" w:rsidRPr="0032298F">
        <w:rPr>
          <w:rFonts w:ascii="Calibri" w:eastAsia="Calibri" w:hAnsi="Calibri" w:cs="Calibri"/>
          <w:u w:val="single"/>
        </w:rPr>
        <w:t>oorafgaand</w:t>
      </w:r>
      <w:r w:rsidR="00A30929" w:rsidRPr="00850E31">
        <w:rPr>
          <w:rFonts w:ascii="Calibri" w:eastAsia="Calibri" w:hAnsi="Calibri" w:cs="Calibri"/>
        </w:rPr>
        <w:t xml:space="preserve"> aan levering </w:t>
      </w:r>
      <w:r w:rsidR="00FA7583" w:rsidRPr="00850E31">
        <w:rPr>
          <w:rFonts w:ascii="Calibri" w:eastAsia="Calibri" w:hAnsi="Calibri" w:cs="Calibri"/>
        </w:rPr>
        <w:t xml:space="preserve">niet reeds </w:t>
      </w:r>
      <w:r w:rsidR="0032298F">
        <w:rPr>
          <w:rFonts w:ascii="Calibri" w:eastAsia="Calibri" w:hAnsi="Calibri" w:cs="Calibri"/>
        </w:rPr>
        <w:t>kan “</w:t>
      </w:r>
      <w:r w:rsidR="00A30929" w:rsidRPr="00850E31">
        <w:rPr>
          <w:rFonts w:ascii="Calibri" w:eastAsia="Calibri" w:hAnsi="Calibri" w:cs="Calibri"/>
        </w:rPr>
        <w:t>vaststaan</w:t>
      </w:r>
      <w:r w:rsidR="0032298F">
        <w:rPr>
          <w:rFonts w:ascii="Calibri" w:eastAsia="Calibri" w:hAnsi="Calibri" w:cs="Calibri"/>
        </w:rPr>
        <w:t>”</w:t>
      </w:r>
      <w:r w:rsidR="00A30929" w:rsidRPr="00850E31">
        <w:rPr>
          <w:rFonts w:ascii="Calibri" w:eastAsia="Calibri" w:hAnsi="Calibri" w:cs="Calibri"/>
        </w:rPr>
        <w:t xml:space="preserve"> dat d</w:t>
      </w:r>
      <w:r w:rsidR="009E1463" w:rsidRPr="00850E31">
        <w:rPr>
          <w:rFonts w:ascii="Calibri" w:eastAsia="Calibri" w:hAnsi="Calibri" w:cs="Calibri"/>
        </w:rPr>
        <w:t xml:space="preserve">eze </w:t>
      </w:r>
      <w:r w:rsidR="00A30929" w:rsidRPr="00850E31">
        <w:rPr>
          <w:rFonts w:ascii="Calibri" w:eastAsia="Calibri" w:hAnsi="Calibri" w:cs="Calibri"/>
        </w:rPr>
        <w:t>goederen ge</w:t>
      </w:r>
      <w:r w:rsidR="009E1463" w:rsidRPr="00850E31">
        <w:rPr>
          <w:rFonts w:ascii="Calibri" w:eastAsia="Calibri" w:hAnsi="Calibri" w:cs="Calibri"/>
        </w:rPr>
        <w:t xml:space="preserve">bruikt </w:t>
      </w:r>
      <w:r w:rsidR="00850E31" w:rsidRPr="00850E31">
        <w:rPr>
          <w:rFonts w:ascii="Calibri" w:eastAsia="Calibri" w:hAnsi="Calibri" w:cs="Calibri"/>
        </w:rPr>
        <w:t xml:space="preserve">gaan </w:t>
      </w:r>
      <w:r w:rsidR="009E1463" w:rsidRPr="00850E31">
        <w:rPr>
          <w:rFonts w:ascii="Calibri" w:eastAsia="Calibri" w:hAnsi="Calibri" w:cs="Calibri"/>
        </w:rPr>
        <w:t>worden voor het afwerpen van clustermunitie.</w:t>
      </w:r>
      <w:r w:rsidR="009E1463">
        <w:rPr>
          <w:rFonts w:ascii="Calibri" w:eastAsia="Calibri" w:hAnsi="Calibri" w:cs="Calibri"/>
        </w:rPr>
        <w:t xml:space="preserve"> </w:t>
      </w:r>
      <w:r w:rsidR="0032298F">
        <w:rPr>
          <w:rFonts w:ascii="Calibri" w:eastAsia="Calibri" w:hAnsi="Calibri" w:cs="Calibri"/>
        </w:rPr>
        <w:t xml:space="preserve">Ook om die reden is </w:t>
      </w:r>
      <w:r w:rsidR="00177D30">
        <w:rPr>
          <w:rFonts w:ascii="Calibri" w:eastAsia="Calibri" w:hAnsi="Calibri" w:cs="Calibri"/>
        </w:rPr>
        <w:t>het standpunt van de minister onhoudbaar.</w:t>
      </w:r>
    </w:p>
    <w:p w14:paraId="40A6ABD2" w14:textId="77777777" w:rsidR="00075579" w:rsidRPr="00DD4E69" w:rsidRDefault="00075579" w:rsidP="00724FEF">
      <w:pPr>
        <w:spacing w:before="240" w:after="240"/>
        <w:jc w:val="both"/>
        <w:rPr>
          <w:rFonts w:ascii="Calibri" w:eastAsia="Calibri" w:hAnsi="Calibri" w:cs="Calibri"/>
        </w:rPr>
      </w:pPr>
    </w:p>
    <w:p w14:paraId="19F82D67" w14:textId="3C53BB8E" w:rsidR="00E72ACE" w:rsidRDefault="00CE7EA7" w:rsidP="00724FEF">
      <w:pPr>
        <w:pStyle w:val="Kop2"/>
        <w:jc w:val="both"/>
        <w:rPr>
          <w:rFonts w:eastAsia="Calibri"/>
        </w:rPr>
      </w:pPr>
      <w:bookmarkStart w:id="11" w:name="_Toc185491846"/>
      <w:r>
        <w:rPr>
          <w:rFonts w:eastAsia="Calibri"/>
        </w:rPr>
        <w:t>S</w:t>
      </w:r>
      <w:r w:rsidR="00E72ACE">
        <w:rPr>
          <w:rFonts w:eastAsia="Calibri"/>
        </w:rPr>
        <w:t xml:space="preserve">amenwerking </w:t>
      </w:r>
      <w:r>
        <w:rPr>
          <w:rFonts w:eastAsia="Calibri"/>
        </w:rPr>
        <w:t xml:space="preserve">op militair gebied </w:t>
      </w:r>
      <w:r w:rsidR="00E72ACE">
        <w:rPr>
          <w:rFonts w:eastAsia="Calibri"/>
        </w:rPr>
        <w:t>(inter</w:t>
      </w:r>
      <w:r w:rsidR="00F16110">
        <w:rPr>
          <w:rFonts w:eastAsia="Calibri"/>
        </w:rPr>
        <w:t>operabiliteit)</w:t>
      </w:r>
      <w:bookmarkEnd w:id="11"/>
    </w:p>
    <w:p w14:paraId="622A4BCE" w14:textId="64ECF99C" w:rsidR="00FF56FB" w:rsidRDefault="00880C31" w:rsidP="00724FEF">
      <w:pPr>
        <w:jc w:val="both"/>
        <w:rPr>
          <w:rFonts w:ascii="Calibri" w:eastAsia="Calibri" w:hAnsi="Calibri" w:cs="Calibri"/>
        </w:rPr>
      </w:pPr>
      <w:r>
        <w:rPr>
          <w:rFonts w:ascii="Calibri" w:eastAsia="Calibri" w:hAnsi="Calibri" w:cs="Calibri"/>
        </w:rPr>
        <w:t>A</w:t>
      </w:r>
      <w:r w:rsidRPr="00494E8D">
        <w:rPr>
          <w:rFonts w:ascii="Calibri" w:eastAsia="Calibri" w:hAnsi="Calibri" w:cs="Calibri"/>
        </w:rPr>
        <w:t>rt</w:t>
      </w:r>
      <w:r>
        <w:rPr>
          <w:rFonts w:ascii="Calibri" w:eastAsia="Calibri" w:hAnsi="Calibri" w:cs="Calibri"/>
        </w:rPr>
        <w:t>ikel</w:t>
      </w:r>
      <w:r w:rsidRPr="00494E8D">
        <w:rPr>
          <w:rFonts w:ascii="Calibri" w:eastAsia="Calibri" w:hAnsi="Calibri" w:cs="Calibri"/>
        </w:rPr>
        <w:t xml:space="preserve"> 21 </w:t>
      </w:r>
      <w:r w:rsidR="00D664C4">
        <w:rPr>
          <w:rFonts w:ascii="Calibri" w:eastAsia="Calibri" w:hAnsi="Calibri" w:cs="Calibri"/>
        </w:rPr>
        <w:t xml:space="preserve">CCM </w:t>
      </w:r>
      <w:r w:rsidR="001F4390">
        <w:rPr>
          <w:rFonts w:ascii="Calibri" w:eastAsia="Calibri" w:hAnsi="Calibri" w:cs="Calibri"/>
        </w:rPr>
        <w:t xml:space="preserve">maakt duidelijk dat </w:t>
      </w:r>
      <w:r w:rsidRPr="00494E8D">
        <w:rPr>
          <w:rFonts w:ascii="Calibri" w:eastAsia="Calibri" w:hAnsi="Calibri" w:cs="Calibri"/>
        </w:rPr>
        <w:t>de verplichtingen uit art</w:t>
      </w:r>
      <w:r>
        <w:rPr>
          <w:rFonts w:ascii="Calibri" w:eastAsia="Calibri" w:hAnsi="Calibri" w:cs="Calibri"/>
        </w:rPr>
        <w:t>ikel</w:t>
      </w:r>
      <w:r w:rsidRPr="00494E8D">
        <w:rPr>
          <w:rFonts w:ascii="Calibri" w:eastAsia="Calibri" w:hAnsi="Calibri" w:cs="Calibri"/>
        </w:rPr>
        <w:t xml:space="preserve"> 1</w:t>
      </w:r>
      <w:r w:rsidR="00D664C4">
        <w:rPr>
          <w:rFonts w:ascii="Calibri" w:eastAsia="Calibri" w:hAnsi="Calibri" w:cs="Calibri"/>
        </w:rPr>
        <w:t xml:space="preserve"> CCM</w:t>
      </w:r>
      <w:r w:rsidR="001F4390">
        <w:rPr>
          <w:rFonts w:ascii="Calibri" w:eastAsia="Calibri" w:hAnsi="Calibri" w:cs="Calibri"/>
        </w:rPr>
        <w:t xml:space="preserve"> niet per definitie in de weg staan aan</w:t>
      </w:r>
      <w:r w:rsidRPr="00494E8D">
        <w:rPr>
          <w:rFonts w:ascii="Calibri" w:eastAsia="Calibri" w:hAnsi="Calibri" w:cs="Calibri"/>
        </w:rPr>
        <w:t xml:space="preserve"> </w:t>
      </w:r>
      <w:r>
        <w:rPr>
          <w:rFonts w:ascii="Calibri" w:eastAsia="Calibri" w:hAnsi="Calibri" w:cs="Calibri"/>
        </w:rPr>
        <w:t>situaties van interoperabiliteit als omschreven in artikel 21 lid 3</w:t>
      </w:r>
      <w:r w:rsidRPr="00494E8D">
        <w:rPr>
          <w:rFonts w:ascii="Calibri" w:eastAsia="Calibri" w:hAnsi="Calibri" w:cs="Calibri"/>
        </w:rPr>
        <w:t>.</w:t>
      </w:r>
      <w:r w:rsidR="001F4390">
        <w:rPr>
          <w:rFonts w:ascii="Calibri" w:eastAsia="Calibri" w:hAnsi="Calibri" w:cs="Calibri"/>
        </w:rPr>
        <w:t xml:space="preserve"> </w:t>
      </w:r>
      <w:r w:rsidR="00D216F9">
        <w:rPr>
          <w:rFonts w:ascii="Calibri" w:eastAsia="Calibri" w:hAnsi="Calibri" w:cs="Calibri"/>
        </w:rPr>
        <w:t>H</w:t>
      </w:r>
      <w:r w:rsidR="00E242FA">
        <w:rPr>
          <w:rFonts w:ascii="Calibri" w:eastAsia="Calibri" w:hAnsi="Calibri" w:cs="Calibri"/>
        </w:rPr>
        <w:t xml:space="preserve">et </w:t>
      </w:r>
      <w:r w:rsidR="00D216F9">
        <w:rPr>
          <w:rFonts w:ascii="Calibri" w:eastAsia="Calibri" w:hAnsi="Calibri" w:cs="Calibri"/>
        </w:rPr>
        <w:t xml:space="preserve">is dus </w:t>
      </w:r>
      <w:r w:rsidR="00E242FA">
        <w:rPr>
          <w:rFonts w:ascii="Calibri" w:eastAsia="Calibri" w:hAnsi="Calibri" w:cs="Calibri"/>
        </w:rPr>
        <w:t xml:space="preserve">mogelijk om samen te werken met landen die geen partij zijn bij de CCM en die mogelijk deelnemen aan activiteiten die onder het verdrag verboden zijn. </w:t>
      </w:r>
      <w:r w:rsidR="0039517C">
        <w:rPr>
          <w:rFonts w:ascii="Calibri" w:eastAsia="Calibri" w:hAnsi="Calibri" w:cs="Calibri"/>
        </w:rPr>
        <w:t>Hieruit volgt dat er</w:t>
      </w:r>
      <w:r w:rsidR="00157286">
        <w:rPr>
          <w:rFonts w:ascii="Calibri" w:eastAsia="Calibri" w:hAnsi="Calibri" w:cs="Calibri"/>
        </w:rPr>
        <w:t xml:space="preserve"> een spanningsveld </w:t>
      </w:r>
      <w:r w:rsidR="0039517C">
        <w:rPr>
          <w:rFonts w:ascii="Calibri" w:eastAsia="Calibri" w:hAnsi="Calibri" w:cs="Calibri"/>
        </w:rPr>
        <w:t xml:space="preserve">bestaat </w:t>
      </w:r>
      <w:r w:rsidR="00157286">
        <w:rPr>
          <w:rFonts w:ascii="Calibri" w:eastAsia="Calibri" w:hAnsi="Calibri" w:cs="Calibri"/>
        </w:rPr>
        <w:t>tussen het verbod op steun en de mogelijkheid om</w:t>
      </w:r>
      <w:r w:rsidR="004962FD">
        <w:rPr>
          <w:rFonts w:ascii="Calibri" w:eastAsia="Calibri" w:hAnsi="Calibri" w:cs="Calibri"/>
        </w:rPr>
        <w:t xml:space="preserve"> </w:t>
      </w:r>
      <w:r w:rsidR="00D664C4">
        <w:rPr>
          <w:rFonts w:ascii="Calibri" w:eastAsia="Calibri" w:hAnsi="Calibri" w:cs="Calibri"/>
        </w:rPr>
        <w:t xml:space="preserve">op </w:t>
      </w:r>
      <w:r w:rsidR="004962FD">
        <w:rPr>
          <w:rFonts w:ascii="Calibri" w:eastAsia="Calibri" w:hAnsi="Calibri" w:cs="Calibri"/>
        </w:rPr>
        <w:t>militair</w:t>
      </w:r>
      <w:r w:rsidR="00157286">
        <w:rPr>
          <w:rFonts w:ascii="Calibri" w:eastAsia="Calibri" w:hAnsi="Calibri" w:cs="Calibri"/>
        </w:rPr>
        <w:t xml:space="preserve"> </w:t>
      </w:r>
      <w:r w:rsidR="00D664C4">
        <w:rPr>
          <w:rFonts w:ascii="Calibri" w:eastAsia="Calibri" w:hAnsi="Calibri" w:cs="Calibri"/>
        </w:rPr>
        <w:t xml:space="preserve">gebied </w:t>
      </w:r>
      <w:r w:rsidR="00157286">
        <w:rPr>
          <w:rFonts w:ascii="Calibri" w:eastAsia="Calibri" w:hAnsi="Calibri" w:cs="Calibri"/>
        </w:rPr>
        <w:t xml:space="preserve">samen te werken. </w:t>
      </w:r>
      <w:r w:rsidR="00364EC1">
        <w:rPr>
          <w:rFonts w:ascii="Calibri" w:eastAsia="Calibri" w:hAnsi="Calibri" w:cs="Calibri"/>
        </w:rPr>
        <w:t>De mate van samenwerking en wanneer dit overgaat in steun aan verboden activiteiten is</w:t>
      </w:r>
      <w:r w:rsidR="00786F9E">
        <w:rPr>
          <w:rFonts w:ascii="Calibri" w:eastAsia="Calibri" w:hAnsi="Calibri" w:cs="Calibri"/>
        </w:rPr>
        <w:t xml:space="preserve">, zoals reeds uit de vorige paragraaf </w:t>
      </w:r>
      <w:r w:rsidR="00055A8C">
        <w:rPr>
          <w:rFonts w:ascii="Calibri" w:eastAsia="Calibri" w:hAnsi="Calibri" w:cs="Calibri"/>
        </w:rPr>
        <w:t>volgde, is</w:t>
      </w:r>
      <w:r w:rsidR="00364EC1">
        <w:rPr>
          <w:rFonts w:ascii="Calibri" w:eastAsia="Calibri" w:hAnsi="Calibri" w:cs="Calibri"/>
        </w:rPr>
        <w:t xml:space="preserve"> lastiger te bepalen. </w:t>
      </w:r>
    </w:p>
    <w:p w14:paraId="2FFC228B" w14:textId="257DB234" w:rsidR="00157286" w:rsidRPr="00494E8D" w:rsidRDefault="00157286" w:rsidP="00724FEF">
      <w:pPr>
        <w:jc w:val="both"/>
        <w:rPr>
          <w:rFonts w:ascii="Calibri" w:eastAsia="Calibri" w:hAnsi="Calibri" w:cs="Calibri"/>
        </w:rPr>
      </w:pPr>
      <w:r>
        <w:rPr>
          <w:rFonts w:ascii="Calibri" w:eastAsia="Calibri" w:hAnsi="Calibri" w:cs="Calibri"/>
        </w:rPr>
        <w:lastRenderedPageBreak/>
        <w:t>In</w:t>
      </w:r>
      <w:r w:rsidRPr="00494E8D">
        <w:rPr>
          <w:rFonts w:ascii="Calibri" w:eastAsia="Calibri" w:hAnsi="Calibri" w:cs="Calibri"/>
        </w:rPr>
        <w:t xml:space="preserve"> het commentaar bij de CCM</w:t>
      </w:r>
      <w:r>
        <w:rPr>
          <w:rFonts w:ascii="Calibri" w:eastAsia="Calibri" w:hAnsi="Calibri" w:cs="Calibri"/>
        </w:rPr>
        <w:t xml:space="preserve"> over</w:t>
      </w:r>
      <w:r w:rsidRPr="00494E8D">
        <w:rPr>
          <w:rFonts w:ascii="Calibri" w:eastAsia="Calibri" w:hAnsi="Calibri" w:cs="Calibri"/>
        </w:rPr>
        <w:t xml:space="preserve"> </w:t>
      </w:r>
      <w:r>
        <w:rPr>
          <w:rFonts w:ascii="Calibri" w:eastAsia="Calibri" w:hAnsi="Calibri" w:cs="Calibri"/>
        </w:rPr>
        <w:t>de</w:t>
      </w:r>
      <w:r w:rsidRPr="00494E8D">
        <w:rPr>
          <w:rFonts w:ascii="Calibri" w:eastAsia="Calibri" w:hAnsi="Calibri" w:cs="Calibri"/>
        </w:rPr>
        <w:t xml:space="preserve"> nauw</w:t>
      </w:r>
      <w:r>
        <w:rPr>
          <w:rFonts w:ascii="Calibri" w:eastAsia="Calibri" w:hAnsi="Calibri" w:cs="Calibri"/>
        </w:rPr>
        <w:t>e</w:t>
      </w:r>
      <w:r w:rsidRPr="00494E8D">
        <w:rPr>
          <w:rFonts w:ascii="Calibri" w:eastAsia="Calibri" w:hAnsi="Calibri" w:cs="Calibri"/>
        </w:rPr>
        <w:t xml:space="preserve"> band tussen artikel 1 lid 1 sub c en artikel 21</w:t>
      </w:r>
      <w:r>
        <w:rPr>
          <w:rFonts w:ascii="Calibri" w:eastAsia="Calibri" w:hAnsi="Calibri" w:cs="Calibri"/>
        </w:rPr>
        <w:t xml:space="preserve"> staat</w:t>
      </w:r>
      <w:r w:rsidRPr="00494E8D">
        <w:rPr>
          <w:rFonts w:ascii="Calibri" w:eastAsia="Calibri" w:hAnsi="Calibri" w:cs="Calibri"/>
        </w:rPr>
        <w:t>:</w:t>
      </w:r>
    </w:p>
    <w:p w14:paraId="76C60389" w14:textId="77777777" w:rsidR="00157286" w:rsidRPr="0007005C" w:rsidRDefault="00157286" w:rsidP="00724FEF">
      <w:pPr>
        <w:ind w:left="708"/>
        <w:jc w:val="both"/>
        <w:rPr>
          <w:rFonts w:ascii="Calibri" w:eastAsia="Calibri" w:hAnsi="Calibri" w:cs="Calibri"/>
          <w:lang w:val="en-US"/>
        </w:rPr>
      </w:pPr>
      <w:r w:rsidRPr="0007005C">
        <w:rPr>
          <w:rFonts w:ascii="Calibri" w:eastAsia="Calibri" w:hAnsi="Calibri" w:cs="Calibri"/>
          <w:lang w:val="en-US"/>
        </w:rPr>
        <w:t>“There is a close link between Article 1, paragraph 1(c) on assistance and Article 21 on interoperability. Article 21 was negotiated and adopted due to concern that military cooperation with States not party to the Convention might constitute assistance in contravention of Article 1. Article 21 must be read in concert with Article 1, as it says ‘notwithstanding the provisions of Article 1 […] and in accordance with international law, States Parties, their military personnel or nationals, may engage in military cooperation and operations with States not party to this Convention that might engage in activities prohibited to a State Party’.”</w:t>
      </w:r>
      <w:r w:rsidRPr="00494E8D">
        <w:rPr>
          <w:rStyle w:val="Voetnootmarkering"/>
          <w:rFonts w:ascii="Calibri" w:eastAsia="Calibri" w:hAnsi="Calibri" w:cs="Calibri"/>
        </w:rPr>
        <w:footnoteReference w:id="43"/>
      </w:r>
    </w:p>
    <w:p w14:paraId="20081D8C" w14:textId="0A416E08" w:rsidR="00157286" w:rsidRPr="00494E8D" w:rsidRDefault="00157286" w:rsidP="00724FEF">
      <w:pPr>
        <w:jc w:val="both"/>
        <w:rPr>
          <w:rFonts w:ascii="Calibri" w:eastAsia="Calibri" w:hAnsi="Calibri" w:cs="Calibri"/>
        </w:rPr>
      </w:pPr>
      <w:r w:rsidRPr="00494E8D">
        <w:rPr>
          <w:rFonts w:ascii="Calibri" w:eastAsia="Calibri" w:hAnsi="Calibri" w:cs="Calibri"/>
        </w:rPr>
        <w:t xml:space="preserve">In het commentaar wordt </w:t>
      </w:r>
      <w:r w:rsidR="000F1E3C">
        <w:rPr>
          <w:rFonts w:ascii="Calibri" w:eastAsia="Calibri" w:hAnsi="Calibri" w:cs="Calibri"/>
        </w:rPr>
        <w:t xml:space="preserve">verder </w:t>
      </w:r>
      <w:r w:rsidRPr="00494E8D">
        <w:rPr>
          <w:rFonts w:ascii="Calibri" w:eastAsia="Calibri" w:hAnsi="Calibri" w:cs="Calibri"/>
        </w:rPr>
        <w:t xml:space="preserve">over </w:t>
      </w:r>
      <w:r>
        <w:rPr>
          <w:rFonts w:ascii="Calibri" w:eastAsia="Calibri" w:hAnsi="Calibri" w:cs="Calibri"/>
        </w:rPr>
        <w:t xml:space="preserve">deze zorgen </w:t>
      </w:r>
      <w:r w:rsidR="000F1E3C">
        <w:rPr>
          <w:rFonts w:ascii="Calibri" w:eastAsia="Calibri" w:hAnsi="Calibri" w:cs="Calibri"/>
        </w:rPr>
        <w:t>rond</w:t>
      </w:r>
      <w:r>
        <w:rPr>
          <w:rFonts w:ascii="Calibri" w:eastAsia="Calibri" w:hAnsi="Calibri" w:cs="Calibri"/>
        </w:rPr>
        <w:t xml:space="preserve"> samenwerking</w:t>
      </w:r>
      <w:r w:rsidRPr="00494E8D">
        <w:rPr>
          <w:rFonts w:ascii="Calibri" w:eastAsia="Calibri" w:hAnsi="Calibri" w:cs="Calibri"/>
        </w:rPr>
        <w:t xml:space="preserve"> </w:t>
      </w:r>
      <w:r w:rsidR="000F1E3C">
        <w:rPr>
          <w:rFonts w:ascii="Calibri" w:eastAsia="Calibri" w:hAnsi="Calibri" w:cs="Calibri"/>
        </w:rPr>
        <w:t>opgemerkt</w:t>
      </w:r>
      <w:r w:rsidRPr="00494E8D">
        <w:rPr>
          <w:rFonts w:ascii="Calibri" w:eastAsia="Calibri" w:hAnsi="Calibri" w:cs="Calibri"/>
        </w:rPr>
        <w:t>:</w:t>
      </w:r>
    </w:p>
    <w:p w14:paraId="7262480B" w14:textId="527595A1" w:rsidR="00157286" w:rsidRPr="00C92AF8" w:rsidRDefault="00157286" w:rsidP="00724FEF">
      <w:pPr>
        <w:ind w:left="708"/>
        <w:jc w:val="both"/>
        <w:rPr>
          <w:rFonts w:ascii="Calibri" w:eastAsia="Calibri" w:hAnsi="Calibri" w:cs="Calibri"/>
          <w:lang w:val="en-US"/>
        </w:rPr>
      </w:pPr>
      <w:r w:rsidRPr="0007005C">
        <w:rPr>
          <w:rFonts w:ascii="Calibri" w:eastAsia="Calibri" w:hAnsi="Calibri" w:cs="Calibri"/>
          <w:lang w:val="en-US"/>
        </w:rPr>
        <w:t>“Two overarching concerns lay behind the desire to include provisions on military cooperation and operations in the Convention on Cluster Munitions. One concern has been the potential responsibility of a State Party for assisting in activities performed by the forces or agents of a State not party.</w:t>
      </w:r>
      <w:r w:rsidRPr="00C92AF8">
        <w:rPr>
          <w:rFonts w:ascii="Calibri" w:eastAsia="Calibri" w:hAnsi="Calibri" w:cs="Calibri"/>
          <w:lang w:val="en-US"/>
        </w:rPr>
        <w:t>”</w:t>
      </w:r>
      <w:r w:rsidRPr="00494E8D">
        <w:rPr>
          <w:rStyle w:val="Voetnootmarkering"/>
          <w:rFonts w:ascii="Calibri" w:eastAsia="Calibri" w:hAnsi="Calibri" w:cs="Calibri"/>
        </w:rPr>
        <w:footnoteReference w:id="44"/>
      </w:r>
    </w:p>
    <w:p w14:paraId="3F72B313" w14:textId="6E022090" w:rsidR="00157286" w:rsidRPr="00494E8D" w:rsidRDefault="00AD6C31" w:rsidP="00724FEF">
      <w:pPr>
        <w:jc w:val="both"/>
        <w:rPr>
          <w:rFonts w:ascii="Calibri" w:eastAsia="Calibri" w:hAnsi="Calibri" w:cs="Calibri"/>
        </w:rPr>
      </w:pPr>
      <w:r>
        <w:rPr>
          <w:rFonts w:ascii="Calibri" w:eastAsia="Calibri" w:hAnsi="Calibri" w:cs="Calibri"/>
        </w:rPr>
        <w:t xml:space="preserve">Om aan deze zorgen recht te doen is artikel 21 CCM opgenomen. </w:t>
      </w:r>
      <w:r w:rsidR="00157286" w:rsidRPr="00494E8D">
        <w:rPr>
          <w:rFonts w:ascii="Calibri" w:eastAsia="Calibri" w:hAnsi="Calibri" w:cs="Calibri"/>
        </w:rPr>
        <w:t xml:space="preserve">Met betrekking tot de </w:t>
      </w:r>
      <w:r w:rsidR="00157286">
        <w:rPr>
          <w:rFonts w:ascii="Calibri" w:eastAsia="Calibri" w:hAnsi="Calibri" w:cs="Calibri"/>
        </w:rPr>
        <w:t>uitleg</w:t>
      </w:r>
      <w:r w:rsidR="00157286" w:rsidRPr="00494E8D">
        <w:rPr>
          <w:rFonts w:ascii="Calibri" w:eastAsia="Calibri" w:hAnsi="Calibri" w:cs="Calibri"/>
        </w:rPr>
        <w:t xml:space="preserve"> van art</w:t>
      </w:r>
      <w:r w:rsidR="00157286">
        <w:rPr>
          <w:rFonts w:ascii="Calibri" w:eastAsia="Calibri" w:hAnsi="Calibri" w:cs="Calibri"/>
        </w:rPr>
        <w:t>ikel</w:t>
      </w:r>
      <w:r w:rsidR="00157286" w:rsidRPr="00494E8D">
        <w:rPr>
          <w:rFonts w:ascii="Calibri" w:eastAsia="Calibri" w:hAnsi="Calibri" w:cs="Calibri"/>
        </w:rPr>
        <w:t xml:space="preserve"> 21 in het algemeen schrijft </w:t>
      </w:r>
      <w:proofErr w:type="spellStart"/>
      <w:r w:rsidR="00157286" w:rsidRPr="00494E8D">
        <w:rPr>
          <w:rFonts w:ascii="Calibri" w:eastAsia="Calibri" w:hAnsi="Calibri" w:cs="Calibri"/>
        </w:rPr>
        <w:t>Casey-Maslen</w:t>
      </w:r>
      <w:proofErr w:type="spellEnd"/>
      <w:r w:rsidR="00157286" w:rsidRPr="00494E8D">
        <w:rPr>
          <w:rFonts w:ascii="Calibri" w:eastAsia="Calibri" w:hAnsi="Calibri" w:cs="Calibri"/>
        </w:rPr>
        <w:t>:</w:t>
      </w:r>
    </w:p>
    <w:p w14:paraId="2E4CBB17" w14:textId="77777777" w:rsidR="00157286" w:rsidRPr="005B56E6" w:rsidRDefault="00157286" w:rsidP="00724FEF">
      <w:pPr>
        <w:ind w:left="708"/>
        <w:jc w:val="both"/>
        <w:rPr>
          <w:rFonts w:ascii="Calibri" w:eastAsia="Calibri" w:hAnsi="Calibri" w:cs="Calibri"/>
          <w:lang w:val="en-US"/>
        </w:rPr>
      </w:pPr>
      <w:r w:rsidRPr="0007005C">
        <w:rPr>
          <w:rFonts w:ascii="Calibri" w:eastAsia="Calibri" w:hAnsi="Calibri" w:cs="Calibri"/>
          <w:lang w:val="en-US"/>
        </w:rPr>
        <w:t>“</w:t>
      </w:r>
      <w:r w:rsidRPr="005B56E6">
        <w:rPr>
          <w:rFonts w:ascii="Calibri" w:eastAsia="Calibri" w:hAnsi="Calibri" w:cs="Calibri"/>
          <w:lang w:val="en-US"/>
        </w:rPr>
        <w:t xml:space="preserve">Article 21 sets out certain positive obligations on States Parties to promote adherence to the Convention and its norms while providing that they may still pursue military cooperation and operations with States not party, even if a State not party might engage in conduct contrary to the Convention. </w:t>
      </w:r>
      <w:r w:rsidRPr="009B78EC">
        <w:rPr>
          <w:rFonts w:ascii="Calibri" w:eastAsia="Calibri" w:hAnsi="Calibri" w:cs="Calibri"/>
          <w:u w:val="single"/>
          <w:lang w:val="en-US"/>
        </w:rPr>
        <w:t>The provisions of Article 21 should be read as a whole</w:t>
      </w:r>
      <w:r w:rsidRPr="005B56E6">
        <w:rPr>
          <w:rFonts w:ascii="Calibri" w:eastAsia="Calibri" w:hAnsi="Calibri" w:cs="Calibri"/>
          <w:lang w:val="en-US"/>
        </w:rPr>
        <w:t>. While paragraph 3 provides that a State Party may engage in military cooperation and operations, paragraphs 1, 2, and 4 provide a legal framework for assessing the scope of the permission to engage with States not party in interoperability situations.”</w:t>
      </w:r>
      <w:r w:rsidRPr="005B56E6">
        <w:rPr>
          <w:rStyle w:val="Voetnootmarkering"/>
          <w:rFonts w:ascii="Calibri" w:eastAsia="Calibri" w:hAnsi="Calibri" w:cs="Calibri"/>
        </w:rPr>
        <w:footnoteReference w:id="45"/>
      </w:r>
    </w:p>
    <w:p w14:paraId="656F0177" w14:textId="1C4CC7DB" w:rsidR="00612381" w:rsidRPr="00494E8D" w:rsidRDefault="00612381" w:rsidP="00724FEF">
      <w:pPr>
        <w:spacing w:before="240" w:after="240"/>
        <w:jc w:val="both"/>
        <w:rPr>
          <w:rFonts w:ascii="Calibri" w:eastAsia="Calibri" w:hAnsi="Calibri" w:cs="Calibri"/>
        </w:rPr>
      </w:pPr>
      <w:r w:rsidRPr="00494E8D">
        <w:rPr>
          <w:rFonts w:ascii="Calibri" w:eastAsia="Calibri" w:hAnsi="Calibri" w:cs="Calibri"/>
        </w:rPr>
        <w:t xml:space="preserve">Deze </w:t>
      </w:r>
      <w:r w:rsidR="00CD388E">
        <w:rPr>
          <w:rFonts w:ascii="Calibri" w:eastAsia="Calibri" w:hAnsi="Calibri" w:cs="Calibri"/>
        </w:rPr>
        <w:t>benadering</w:t>
      </w:r>
      <w:r w:rsidRPr="00494E8D">
        <w:rPr>
          <w:rFonts w:ascii="Calibri" w:eastAsia="Calibri" w:hAnsi="Calibri" w:cs="Calibri"/>
        </w:rPr>
        <w:t xml:space="preserve"> komt overeen met de interpretatie van de ICRC,</w:t>
      </w:r>
      <w:r w:rsidR="00CD388E" w:rsidRPr="00494E8D">
        <w:rPr>
          <w:rStyle w:val="Voetnootmarkering"/>
          <w:rFonts w:ascii="Calibri" w:eastAsia="Calibri" w:hAnsi="Calibri" w:cs="Calibri"/>
        </w:rPr>
        <w:footnoteReference w:id="46"/>
      </w:r>
      <w:r w:rsidRPr="00494E8D">
        <w:rPr>
          <w:rFonts w:ascii="Calibri" w:eastAsia="Calibri" w:hAnsi="Calibri" w:cs="Calibri"/>
        </w:rPr>
        <w:t xml:space="preserve"> welke zegt dat de bepalingen van artikel 21 in samenhang gelezen moeten worden en lid 3 dus ook gelezen moet worden in het licht van lid 1, 2 en 4 </w:t>
      </w:r>
      <w:r>
        <w:rPr>
          <w:rFonts w:ascii="Calibri" w:eastAsia="Calibri" w:hAnsi="Calibri" w:cs="Calibri"/>
        </w:rPr>
        <w:t xml:space="preserve">en </w:t>
      </w:r>
      <w:r w:rsidRPr="00494E8D">
        <w:rPr>
          <w:rFonts w:ascii="Calibri" w:eastAsia="Calibri" w:hAnsi="Calibri" w:cs="Calibri"/>
        </w:rPr>
        <w:t xml:space="preserve">die van Human </w:t>
      </w:r>
      <w:proofErr w:type="spellStart"/>
      <w:r w:rsidRPr="00494E8D">
        <w:rPr>
          <w:rFonts w:ascii="Calibri" w:eastAsia="Calibri" w:hAnsi="Calibri" w:cs="Calibri"/>
        </w:rPr>
        <w:t>Rights</w:t>
      </w:r>
      <w:proofErr w:type="spellEnd"/>
      <w:r w:rsidRPr="00494E8D">
        <w:rPr>
          <w:rFonts w:ascii="Calibri" w:eastAsia="Calibri" w:hAnsi="Calibri" w:cs="Calibri"/>
        </w:rPr>
        <w:t xml:space="preserve"> Watch (HRW)</w:t>
      </w:r>
      <w:r w:rsidR="00933532">
        <w:rPr>
          <w:rFonts w:ascii="Calibri" w:eastAsia="Calibri" w:hAnsi="Calibri" w:cs="Calibri"/>
        </w:rPr>
        <w:t>.</w:t>
      </w:r>
      <w:r w:rsidR="00933532" w:rsidRPr="00494E8D">
        <w:rPr>
          <w:rStyle w:val="Voetnootmarkering"/>
          <w:rFonts w:ascii="Calibri" w:eastAsia="Calibri" w:hAnsi="Calibri" w:cs="Calibri"/>
        </w:rPr>
        <w:footnoteReference w:id="47"/>
      </w:r>
      <w:r w:rsidRPr="00494E8D">
        <w:rPr>
          <w:rFonts w:ascii="Calibri" w:eastAsia="Calibri" w:hAnsi="Calibri" w:cs="Calibri"/>
        </w:rPr>
        <w:t xml:space="preserve"> </w:t>
      </w:r>
    </w:p>
    <w:p w14:paraId="50B23D5E" w14:textId="73030581" w:rsidR="00157286" w:rsidRPr="00C92AF8" w:rsidRDefault="00CE5920" w:rsidP="00724FEF">
      <w:pPr>
        <w:jc w:val="both"/>
        <w:rPr>
          <w:rFonts w:ascii="Calibri" w:eastAsia="Calibri" w:hAnsi="Calibri" w:cs="Calibri"/>
        </w:rPr>
      </w:pPr>
      <w:proofErr w:type="spellStart"/>
      <w:r w:rsidRPr="00C92AF8">
        <w:rPr>
          <w:rFonts w:ascii="Calibri" w:eastAsia="Calibri" w:hAnsi="Calibri" w:cs="Calibri"/>
        </w:rPr>
        <w:t>Casey-Maslen</w:t>
      </w:r>
      <w:proofErr w:type="spellEnd"/>
      <w:r w:rsidRPr="00C92AF8">
        <w:rPr>
          <w:rFonts w:ascii="Calibri" w:eastAsia="Calibri" w:hAnsi="Calibri" w:cs="Calibri"/>
        </w:rPr>
        <w:t xml:space="preserve"> overweeg</w:t>
      </w:r>
      <w:r w:rsidR="00452D18" w:rsidRPr="00C92AF8">
        <w:rPr>
          <w:rFonts w:ascii="Calibri" w:eastAsia="Calibri" w:hAnsi="Calibri" w:cs="Calibri"/>
        </w:rPr>
        <w:t>t over de verhouding van artikel 21 tot artikel 1</w:t>
      </w:r>
      <w:r w:rsidR="00157286" w:rsidRPr="00C92AF8">
        <w:rPr>
          <w:rFonts w:ascii="Calibri" w:eastAsia="Calibri" w:hAnsi="Calibri" w:cs="Calibri"/>
        </w:rPr>
        <w:t>:</w:t>
      </w:r>
    </w:p>
    <w:p w14:paraId="60E91B15" w14:textId="2BD6ED2A" w:rsidR="00157286" w:rsidRPr="0007005C" w:rsidRDefault="00157286" w:rsidP="00724FEF">
      <w:pPr>
        <w:ind w:left="708"/>
        <w:jc w:val="both"/>
        <w:rPr>
          <w:rFonts w:ascii="Calibri" w:eastAsia="Calibri" w:hAnsi="Calibri" w:cs="Calibri"/>
          <w:lang w:val="en-US"/>
        </w:rPr>
      </w:pPr>
      <w:r w:rsidRPr="0007005C">
        <w:rPr>
          <w:rFonts w:ascii="Calibri" w:eastAsia="Calibri" w:hAnsi="Calibri" w:cs="Calibri"/>
          <w:lang w:val="en-US"/>
        </w:rPr>
        <w:t xml:space="preserve">Thus, in principle, whenever the respective military forces of a State Party and a State not party engage in military cooperation or operations, Article 21 may be invoked. </w:t>
      </w:r>
      <w:r w:rsidRPr="0007005C">
        <w:rPr>
          <w:rFonts w:ascii="Calibri" w:eastAsia="Calibri" w:hAnsi="Calibri" w:cs="Calibri"/>
          <w:u w:val="single"/>
          <w:lang w:val="en-US"/>
        </w:rPr>
        <w:t>Interoperability therefore concerns the limits on lawful assistance to a State not party in situations of military cooperation and operations</w:t>
      </w:r>
      <w:r w:rsidRPr="0007005C">
        <w:rPr>
          <w:rFonts w:ascii="Calibri" w:eastAsia="Calibri" w:hAnsi="Calibri" w:cs="Calibri"/>
          <w:lang w:val="en-US"/>
        </w:rPr>
        <w:t xml:space="preserve">. The implication of one State in the conduct of another State may </w:t>
      </w:r>
      <w:r w:rsidRPr="0007005C">
        <w:rPr>
          <w:rFonts w:ascii="Calibri" w:eastAsia="Calibri" w:hAnsi="Calibri" w:cs="Calibri"/>
          <w:lang w:val="en-US"/>
        </w:rPr>
        <w:lastRenderedPageBreak/>
        <w:t>involve international responsibility of the former State in connection with the acts of the latter.”</w:t>
      </w:r>
      <w:r w:rsidRPr="00494E8D">
        <w:rPr>
          <w:rStyle w:val="Voetnootmarkering"/>
          <w:rFonts w:ascii="Calibri" w:eastAsia="Calibri" w:hAnsi="Calibri" w:cs="Calibri"/>
        </w:rPr>
        <w:footnoteReference w:id="48"/>
      </w:r>
    </w:p>
    <w:p w14:paraId="027BB58E" w14:textId="038A1955" w:rsidR="007A0B1E" w:rsidRPr="001912A9" w:rsidRDefault="00DA430E" w:rsidP="00724FEF">
      <w:pPr>
        <w:pStyle w:val="Tekst"/>
        <w:numPr>
          <w:ilvl w:val="0"/>
          <w:numId w:val="0"/>
        </w:numPr>
        <w:jc w:val="both"/>
        <w:rPr>
          <w:rFonts w:ascii="Calibri" w:eastAsia="Calibri" w:hAnsi="Calibri" w:cs="Calibri"/>
        </w:rPr>
      </w:pPr>
      <w:r w:rsidRPr="00DA430E">
        <w:t>H</w:t>
      </w:r>
      <w:r w:rsidR="00C60045" w:rsidRPr="00494E8D">
        <w:t xml:space="preserve">et commentaar </w:t>
      </w:r>
      <w:r w:rsidR="001912A9">
        <w:t xml:space="preserve">geeft </w:t>
      </w:r>
      <w:r w:rsidR="00C60045" w:rsidRPr="00494E8D">
        <w:t xml:space="preserve">echter </w:t>
      </w:r>
      <w:r w:rsidR="001912A9">
        <w:t xml:space="preserve">aan dat </w:t>
      </w:r>
      <w:r>
        <w:t xml:space="preserve">onduidelijk is hoe </w:t>
      </w:r>
      <w:r w:rsidR="00C60045" w:rsidRPr="00494E8D">
        <w:t xml:space="preserve">de grenzen </w:t>
      </w:r>
      <w:r w:rsidR="00C60045">
        <w:t xml:space="preserve">aan militaire samenwerking </w:t>
      </w:r>
      <w:r w:rsidR="00C60045" w:rsidRPr="00494E8D">
        <w:t>moeten worden geïnterpreteerd in de context van artikel 21 en in het licht van het doel en de strekking van het verdrag.</w:t>
      </w:r>
      <w:r w:rsidR="00C60045" w:rsidRPr="00494E8D">
        <w:rPr>
          <w:rStyle w:val="Voetnootmarkering"/>
        </w:rPr>
        <w:footnoteReference w:id="49"/>
      </w:r>
      <w:r w:rsidR="00C60045">
        <w:t xml:space="preserve"> </w:t>
      </w:r>
      <w:r w:rsidR="007A0B1E" w:rsidRPr="001912A9">
        <w:rPr>
          <w:rFonts w:ascii="Calibri" w:eastAsia="Calibri" w:hAnsi="Calibri" w:cs="Calibri"/>
        </w:rPr>
        <w:t>Het commentaar schrijft over deze onduidelijkheid:</w:t>
      </w:r>
    </w:p>
    <w:p w14:paraId="5EF0ABBA" w14:textId="77777777" w:rsidR="007A0B1E" w:rsidRPr="0007005C" w:rsidRDefault="007A0B1E"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“[P]</w:t>
      </w:r>
      <w:proofErr w:type="spellStart"/>
      <w:r w:rsidRPr="0007005C">
        <w:rPr>
          <w:rFonts w:ascii="Calibri" w:eastAsia="Calibri" w:hAnsi="Calibri" w:cs="Calibri"/>
          <w:lang w:val="en-US"/>
        </w:rPr>
        <w:t>aragraph</w:t>
      </w:r>
      <w:proofErr w:type="spellEnd"/>
      <w:r w:rsidRPr="0007005C">
        <w:rPr>
          <w:rFonts w:ascii="Calibri" w:eastAsia="Calibri" w:hAnsi="Calibri" w:cs="Calibri"/>
          <w:lang w:val="en-US"/>
        </w:rPr>
        <w:t xml:space="preserve"> 3 does not define any particular activity which shall be open to States Parties in such situations, </w:t>
      </w:r>
      <w:r w:rsidRPr="00193908">
        <w:rPr>
          <w:rFonts w:ascii="Calibri" w:eastAsia="Calibri" w:hAnsi="Calibri" w:cs="Calibri"/>
          <w:u w:val="single"/>
          <w:lang w:val="en-US"/>
        </w:rPr>
        <w:t>despite their general obligations as laid down in Article 1 of the Convention</w:t>
      </w:r>
      <w:r w:rsidRPr="0007005C">
        <w:rPr>
          <w:rFonts w:ascii="Calibri" w:eastAsia="Calibri" w:hAnsi="Calibri" w:cs="Calibri"/>
          <w:lang w:val="en-US"/>
        </w:rPr>
        <w:t xml:space="preserve">. </w:t>
      </w:r>
      <w:r w:rsidRPr="0007005C">
        <w:rPr>
          <w:rFonts w:ascii="Calibri" w:eastAsia="Calibri" w:hAnsi="Calibri" w:cs="Calibri"/>
          <w:u w:val="single"/>
          <w:lang w:val="en-US"/>
        </w:rPr>
        <w:t>Nor does paragraph 3 clarify what would be an appropriate level of engagement or participation, or indeed any concrete action of assistance in military cooperation or operations, to define the outer limits of permitted interoperability, except for the examples provided in paragraph 4. The interoperability provision is therefore open to various interpretations and to potential refinement through subsequent State practice</w:t>
      </w:r>
      <w:r w:rsidRPr="0007005C">
        <w:rPr>
          <w:rFonts w:ascii="Calibri" w:eastAsia="Calibri" w:hAnsi="Calibri" w:cs="Calibri"/>
          <w:lang w:val="en-US"/>
        </w:rPr>
        <w:t>. At the time of writing, the textual interpretation of paragraph 3 should be supplemented by further legal sources to fill in the gaps, in particular by other applicable provisions of international law.”</w:t>
      </w:r>
      <w:r w:rsidRPr="00494E8D">
        <w:rPr>
          <w:rStyle w:val="Voetnootmarkering"/>
          <w:rFonts w:ascii="Calibri" w:eastAsia="Calibri" w:hAnsi="Calibri" w:cs="Calibri"/>
        </w:rPr>
        <w:footnoteReference w:id="50"/>
      </w:r>
    </w:p>
    <w:p w14:paraId="51F8DFAE" w14:textId="3E70AE9A" w:rsidR="007A0B1E" w:rsidRDefault="007A0B1E" w:rsidP="00724FEF">
      <w:pPr>
        <w:spacing w:before="240" w:after="240"/>
        <w:jc w:val="both"/>
        <w:rPr>
          <w:rFonts w:ascii="Calibri" w:eastAsia="Calibri" w:hAnsi="Calibri" w:cs="Calibri"/>
        </w:rPr>
      </w:pPr>
      <w:r>
        <w:rPr>
          <w:rFonts w:ascii="Calibri" w:eastAsia="Calibri" w:hAnsi="Calibri" w:cs="Calibri"/>
        </w:rPr>
        <w:t>Een</w:t>
      </w:r>
      <w:r w:rsidRPr="00494E8D">
        <w:rPr>
          <w:rFonts w:ascii="Calibri" w:eastAsia="Calibri" w:hAnsi="Calibri" w:cs="Calibri"/>
        </w:rPr>
        <w:t xml:space="preserve"> verdragsstaat mag wel militair samenwerken met een Staat die geen partij is bij het verdrag, zelfs als die Staat </w:t>
      </w:r>
      <w:r>
        <w:rPr>
          <w:rFonts w:ascii="Calibri" w:eastAsia="Calibri" w:hAnsi="Calibri" w:cs="Calibri"/>
        </w:rPr>
        <w:t xml:space="preserve">mogelijk </w:t>
      </w:r>
      <w:r w:rsidRPr="00494E8D">
        <w:rPr>
          <w:rFonts w:ascii="Calibri" w:eastAsia="Calibri" w:hAnsi="Calibri" w:cs="Calibri"/>
        </w:rPr>
        <w:t xml:space="preserve">activiteiten onderneemt die onder de CCM verboden zouden zijn, zolang </w:t>
      </w:r>
      <w:r w:rsidR="008812B6">
        <w:rPr>
          <w:rFonts w:ascii="Calibri" w:eastAsia="Calibri" w:hAnsi="Calibri" w:cs="Calibri"/>
        </w:rPr>
        <w:t xml:space="preserve">het handelen </w:t>
      </w:r>
      <w:r w:rsidRPr="00494E8D">
        <w:rPr>
          <w:rFonts w:ascii="Calibri" w:eastAsia="Calibri" w:hAnsi="Calibri" w:cs="Calibri"/>
        </w:rPr>
        <w:t xml:space="preserve">van de verdragsstaat in die samenwerking niet strekt tot “steun” in de zin van art. 1 lid 1 sub c. </w:t>
      </w:r>
      <w:r w:rsidR="008812B6">
        <w:rPr>
          <w:rFonts w:ascii="Calibri" w:eastAsia="Calibri" w:hAnsi="Calibri" w:cs="Calibri"/>
        </w:rPr>
        <w:t>De hoofdverplichting van artikel 1 blijft immers staan</w:t>
      </w:r>
      <w:r w:rsidR="00DA45F2">
        <w:rPr>
          <w:rFonts w:ascii="Calibri" w:eastAsia="Calibri" w:hAnsi="Calibri" w:cs="Calibri"/>
        </w:rPr>
        <w:t xml:space="preserve">, en artikel 21 lid 3 formuleert niet wat binnen de reikwijdte van artikel 1 is toegestaan. </w:t>
      </w:r>
    </w:p>
    <w:p w14:paraId="398C753A" w14:textId="77777777" w:rsidR="00DE49B4" w:rsidRDefault="008E7FA8" w:rsidP="00724FEF">
      <w:pPr>
        <w:jc w:val="both"/>
        <w:rPr>
          <w:rFonts w:ascii="Calibri" w:eastAsia="Calibri" w:hAnsi="Calibri" w:cs="Calibri"/>
        </w:rPr>
      </w:pPr>
      <w:r>
        <w:rPr>
          <w:rFonts w:ascii="Calibri" w:eastAsia="Calibri" w:hAnsi="Calibri" w:cs="Calibri"/>
        </w:rPr>
        <w:t>In artikel 21 lid 3 geeft h</w:t>
      </w:r>
      <w:r w:rsidR="00F76809" w:rsidRPr="00494E8D">
        <w:rPr>
          <w:rFonts w:ascii="Calibri" w:eastAsia="Calibri" w:hAnsi="Calibri" w:cs="Calibri"/>
        </w:rPr>
        <w:t xml:space="preserve">et woord “niettegenstaande” </w:t>
      </w:r>
      <w:r>
        <w:rPr>
          <w:rFonts w:ascii="Calibri" w:eastAsia="Calibri" w:hAnsi="Calibri" w:cs="Calibri"/>
        </w:rPr>
        <w:t>dus</w:t>
      </w:r>
      <w:r w:rsidR="00F76809" w:rsidRPr="00494E8D">
        <w:rPr>
          <w:rFonts w:ascii="Calibri" w:eastAsia="Calibri" w:hAnsi="Calibri" w:cs="Calibri"/>
        </w:rPr>
        <w:t xml:space="preserve"> aan </w:t>
      </w:r>
      <w:r w:rsidR="00F76809">
        <w:rPr>
          <w:rFonts w:ascii="Calibri" w:eastAsia="Calibri" w:hAnsi="Calibri" w:cs="Calibri"/>
        </w:rPr>
        <w:t xml:space="preserve">de hoofdverplichting van </w:t>
      </w:r>
      <w:r w:rsidR="00F76809" w:rsidRPr="00494E8D">
        <w:rPr>
          <w:rFonts w:ascii="Calibri" w:eastAsia="Calibri" w:hAnsi="Calibri" w:cs="Calibri"/>
        </w:rPr>
        <w:t>art</w:t>
      </w:r>
      <w:r w:rsidR="00F76809">
        <w:rPr>
          <w:rFonts w:ascii="Calibri" w:eastAsia="Calibri" w:hAnsi="Calibri" w:cs="Calibri"/>
        </w:rPr>
        <w:t>ikel</w:t>
      </w:r>
      <w:r w:rsidR="00F76809" w:rsidRPr="00494E8D">
        <w:rPr>
          <w:rFonts w:ascii="Calibri" w:eastAsia="Calibri" w:hAnsi="Calibri" w:cs="Calibri"/>
        </w:rPr>
        <w:t xml:space="preserve"> 1 lid 1 sub c</w:t>
      </w:r>
      <w:r>
        <w:rPr>
          <w:rFonts w:ascii="Calibri" w:eastAsia="Calibri" w:hAnsi="Calibri" w:cs="Calibri"/>
        </w:rPr>
        <w:t xml:space="preserve"> en </w:t>
      </w:r>
      <w:r w:rsidR="000B5883">
        <w:rPr>
          <w:rFonts w:ascii="Calibri" w:eastAsia="Calibri" w:hAnsi="Calibri" w:cs="Calibri"/>
        </w:rPr>
        <w:t xml:space="preserve">handelen in overeenstemming met </w:t>
      </w:r>
      <w:r>
        <w:rPr>
          <w:rFonts w:ascii="Calibri" w:eastAsia="Calibri" w:hAnsi="Calibri" w:cs="Calibri"/>
        </w:rPr>
        <w:t>internationaal recht</w:t>
      </w:r>
      <w:r w:rsidR="000B5883">
        <w:rPr>
          <w:rFonts w:ascii="Calibri" w:eastAsia="Calibri" w:hAnsi="Calibri" w:cs="Calibri"/>
        </w:rPr>
        <w:t xml:space="preserve"> in beginsel</w:t>
      </w:r>
      <w:r>
        <w:rPr>
          <w:rFonts w:ascii="Calibri" w:eastAsia="Calibri" w:hAnsi="Calibri" w:cs="Calibri"/>
        </w:rPr>
        <w:t xml:space="preserve"> niet aan samenwerking op militair gebied in de weg staan</w:t>
      </w:r>
      <w:r w:rsidR="00F76809" w:rsidRPr="00494E8D">
        <w:rPr>
          <w:rFonts w:ascii="Calibri" w:eastAsia="Calibri" w:hAnsi="Calibri" w:cs="Calibri"/>
        </w:rPr>
        <w:t xml:space="preserve">. </w:t>
      </w:r>
    </w:p>
    <w:p w14:paraId="6AB0DF10" w14:textId="654E751A" w:rsidR="00F76809" w:rsidRPr="00494E8D" w:rsidRDefault="00C00D27" w:rsidP="00724FEF">
      <w:pPr>
        <w:jc w:val="both"/>
      </w:pPr>
      <w:r>
        <w:t xml:space="preserve">Het </w:t>
      </w:r>
      <w:r w:rsidR="00F76809" w:rsidRPr="00494E8D">
        <w:t xml:space="preserve">commentaar van </w:t>
      </w:r>
      <w:proofErr w:type="spellStart"/>
      <w:r w:rsidR="00F76809" w:rsidRPr="00494E8D">
        <w:t>Casey-Maslen</w:t>
      </w:r>
      <w:proofErr w:type="spellEnd"/>
      <w:r w:rsidR="00F76809" w:rsidRPr="00494E8D">
        <w:t xml:space="preserve"> </w:t>
      </w:r>
      <w:r>
        <w:t xml:space="preserve">kan </w:t>
      </w:r>
      <w:r w:rsidR="00086105">
        <w:t>mogelijk</w:t>
      </w:r>
      <w:r>
        <w:t xml:space="preserve"> anders begrepen worden waar hij schrijft</w:t>
      </w:r>
      <w:r w:rsidR="00F76809" w:rsidRPr="00494E8D">
        <w:t>:</w:t>
      </w:r>
    </w:p>
    <w:p w14:paraId="1E6A5DC7" w14:textId="77777777" w:rsidR="00F76809" w:rsidRPr="00086105" w:rsidRDefault="00F76809" w:rsidP="00724FEF">
      <w:pPr>
        <w:ind w:left="708"/>
        <w:jc w:val="both"/>
        <w:rPr>
          <w:rFonts w:ascii="Calibri" w:eastAsia="Calibri" w:hAnsi="Calibri" w:cs="Calibri"/>
          <w:lang w:val="en-US"/>
        </w:rPr>
      </w:pPr>
      <w:r w:rsidRPr="0007005C">
        <w:rPr>
          <w:rFonts w:ascii="Calibri" w:eastAsia="Calibri" w:hAnsi="Calibri" w:cs="Calibri"/>
          <w:lang w:val="en-US"/>
        </w:rPr>
        <w:t xml:space="preserve">“By the wording ‘notwithstanding the provisions of Article 1 of this Convention’, </w:t>
      </w:r>
      <w:r w:rsidRPr="00C00D27">
        <w:rPr>
          <w:rFonts w:ascii="Calibri" w:eastAsia="Calibri" w:hAnsi="Calibri" w:cs="Calibri"/>
          <w:u w:val="single"/>
          <w:lang w:val="en-US"/>
        </w:rPr>
        <w:t>paragraph 3 of Article 21 is formulated as an exception to Article 1 of the Convention, which sets out the main obligations of States Parties</w:t>
      </w:r>
      <w:r w:rsidRPr="0007005C">
        <w:rPr>
          <w:rFonts w:ascii="Calibri" w:eastAsia="Calibri" w:hAnsi="Calibri" w:cs="Calibri"/>
          <w:lang w:val="en-US"/>
        </w:rPr>
        <w:t>. Where, however, Article 1 is specific with regard to what obligations are incumbent on a State Party</w:t>
      </w:r>
      <w:r w:rsidRPr="00086105">
        <w:rPr>
          <w:rFonts w:ascii="Calibri" w:eastAsia="Calibri" w:hAnsi="Calibri" w:cs="Calibri"/>
          <w:lang w:val="en-US"/>
        </w:rPr>
        <w:t xml:space="preserve">, paragraph 3 of Article 21 does not list any specific activities that a State Party may engage in </w:t>
      </w:r>
      <w:r w:rsidRPr="00086105">
        <w:rPr>
          <w:rFonts w:ascii="Calibri" w:eastAsia="Calibri" w:hAnsi="Calibri" w:cs="Calibri"/>
          <w:u w:val="single"/>
          <w:lang w:val="en-US"/>
        </w:rPr>
        <w:t>despite its obligations under Article 1</w:t>
      </w:r>
      <w:r w:rsidRPr="00086105">
        <w:rPr>
          <w:rFonts w:ascii="Calibri" w:eastAsia="Calibri" w:hAnsi="Calibri" w:cs="Calibri"/>
          <w:lang w:val="en-US"/>
        </w:rPr>
        <w:t>. Thus, paragraph 3 modifies the scope of Article 1 where issues of interoperability are at stake without further defining its scope beyond the words ‘may engage in military cooperation and operations'.”</w:t>
      </w:r>
      <w:r w:rsidRPr="00086105">
        <w:rPr>
          <w:rStyle w:val="Voetnootmarkering"/>
          <w:rFonts w:ascii="Calibri" w:eastAsia="Calibri" w:hAnsi="Calibri" w:cs="Calibri"/>
        </w:rPr>
        <w:footnoteReference w:id="51"/>
      </w:r>
    </w:p>
    <w:p w14:paraId="719C6385" w14:textId="7B6A35DD" w:rsidR="00F76809" w:rsidRPr="00C92AF8" w:rsidRDefault="00B27F91" w:rsidP="00724FEF">
      <w:pPr>
        <w:jc w:val="both"/>
        <w:rPr>
          <w:rFonts w:ascii="Calibri" w:eastAsia="Calibri" w:hAnsi="Calibri" w:cs="Calibri"/>
          <w:lang w:val="en-US"/>
        </w:rPr>
      </w:pPr>
      <w:r>
        <w:rPr>
          <w:rFonts w:ascii="Calibri" w:eastAsia="Calibri" w:hAnsi="Calibri" w:cs="Calibri"/>
        </w:rPr>
        <w:t>Zoals vermeld</w:t>
      </w:r>
      <w:r w:rsidR="006D48FF">
        <w:rPr>
          <w:rFonts w:ascii="Calibri" w:eastAsia="Calibri" w:hAnsi="Calibri" w:cs="Calibri"/>
        </w:rPr>
        <w:t xml:space="preserve">: </w:t>
      </w:r>
      <w:r>
        <w:rPr>
          <w:rFonts w:ascii="Calibri" w:eastAsia="Calibri" w:hAnsi="Calibri" w:cs="Calibri"/>
        </w:rPr>
        <w:t>w</w:t>
      </w:r>
      <w:r w:rsidR="00F76809" w:rsidRPr="00494E8D">
        <w:rPr>
          <w:rFonts w:ascii="Calibri" w:eastAsia="Calibri" w:hAnsi="Calibri" w:cs="Calibri"/>
        </w:rPr>
        <w:t>at de</w:t>
      </w:r>
      <w:r w:rsidR="0070205F">
        <w:rPr>
          <w:rFonts w:ascii="Calibri" w:eastAsia="Calibri" w:hAnsi="Calibri" w:cs="Calibri"/>
        </w:rPr>
        <w:t xml:space="preserve"> </w:t>
      </w:r>
      <w:r w:rsidR="00F76809">
        <w:rPr>
          <w:rFonts w:ascii="Calibri" w:eastAsia="Calibri" w:hAnsi="Calibri" w:cs="Calibri"/>
        </w:rPr>
        <w:t>beperking</w:t>
      </w:r>
      <w:r w:rsidR="00F76809" w:rsidRPr="00494E8D">
        <w:rPr>
          <w:rFonts w:ascii="Calibri" w:eastAsia="Calibri" w:hAnsi="Calibri" w:cs="Calibri"/>
        </w:rPr>
        <w:t xml:space="preserve"> </w:t>
      </w:r>
      <w:r w:rsidR="0070205F">
        <w:rPr>
          <w:rFonts w:ascii="Calibri" w:eastAsia="Calibri" w:hAnsi="Calibri" w:cs="Calibri"/>
        </w:rPr>
        <w:t xml:space="preserve">van het derde lid </w:t>
      </w:r>
      <w:r w:rsidR="00F76809" w:rsidRPr="00494E8D">
        <w:rPr>
          <w:rFonts w:ascii="Calibri" w:eastAsia="Calibri" w:hAnsi="Calibri" w:cs="Calibri"/>
        </w:rPr>
        <w:t xml:space="preserve">precies inhoudt of wanneer deze geldt, wordt uit de tekst van </w:t>
      </w:r>
      <w:r w:rsidR="0070205F">
        <w:rPr>
          <w:rFonts w:ascii="Calibri" w:eastAsia="Calibri" w:hAnsi="Calibri" w:cs="Calibri"/>
        </w:rPr>
        <w:t xml:space="preserve">de bepaling </w:t>
      </w:r>
      <w:r w:rsidR="00F76809" w:rsidRPr="00494E8D">
        <w:rPr>
          <w:rFonts w:ascii="Calibri" w:eastAsia="Calibri" w:hAnsi="Calibri" w:cs="Calibri"/>
        </w:rPr>
        <w:t xml:space="preserve">niet duidelijk. </w:t>
      </w:r>
      <w:r w:rsidR="00F76809" w:rsidRPr="0007005C">
        <w:rPr>
          <w:rFonts w:ascii="Calibri" w:eastAsia="Calibri" w:hAnsi="Calibri" w:cs="Calibri"/>
          <w:lang w:val="en-US"/>
        </w:rPr>
        <w:t xml:space="preserve">In het </w:t>
      </w:r>
      <w:proofErr w:type="spellStart"/>
      <w:r w:rsidR="00F76809" w:rsidRPr="0007005C">
        <w:rPr>
          <w:rFonts w:ascii="Calibri" w:eastAsia="Calibri" w:hAnsi="Calibri" w:cs="Calibri"/>
          <w:lang w:val="en-US"/>
        </w:rPr>
        <w:t>commentaar</w:t>
      </w:r>
      <w:proofErr w:type="spellEnd"/>
      <w:r w:rsidR="00F76809" w:rsidRPr="0007005C">
        <w:rPr>
          <w:rFonts w:ascii="Calibri" w:eastAsia="Calibri" w:hAnsi="Calibri" w:cs="Calibri"/>
          <w:lang w:val="en-US"/>
        </w:rPr>
        <w:t xml:space="preserve"> </w:t>
      </w:r>
      <w:proofErr w:type="spellStart"/>
      <w:r w:rsidR="00F76809" w:rsidRPr="0007005C">
        <w:rPr>
          <w:rFonts w:ascii="Calibri" w:eastAsia="Calibri" w:hAnsi="Calibri" w:cs="Calibri"/>
          <w:lang w:val="en-US"/>
        </w:rPr>
        <w:t>wordt</w:t>
      </w:r>
      <w:proofErr w:type="spellEnd"/>
      <w:r w:rsidR="00F76809" w:rsidRPr="0007005C">
        <w:rPr>
          <w:rFonts w:ascii="Calibri" w:eastAsia="Calibri" w:hAnsi="Calibri" w:cs="Calibri"/>
          <w:lang w:val="en-US"/>
        </w:rPr>
        <w:t xml:space="preserve"> dan </w:t>
      </w:r>
      <w:proofErr w:type="spellStart"/>
      <w:r w:rsidR="00F76809" w:rsidRPr="0007005C">
        <w:rPr>
          <w:rFonts w:ascii="Calibri" w:eastAsia="Calibri" w:hAnsi="Calibri" w:cs="Calibri"/>
          <w:lang w:val="en-US"/>
        </w:rPr>
        <w:t>ook</w:t>
      </w:r>
      <w:proofErr w:type="spellEnd"/>
      <w:r w:rsidR="00F76809" w:rsidRPr="0007005C">
        <w:rPr>
          <w:rFonts w:ascii="Calibri" w:eastAsia="Calibri" w:hAnsi="Calibri" w:cs="Calibri"/>
          <w:lang w:val="en-US"/>
        </w:rPr>
        <w:t xml:space="preserve"> </w:t>
      </w:r>
      <w:proofErr w:type="spellStart"/>
      <w:r w:rsidR="00F76809" w:rsidRPr="0007005C">
        <w:rPr>
          <w:rFonts w:ascii="Calibri" w:eastAsia="Calibri" w:hAnsi="Calibri" w:cs="Calibri"/>
          <w:lang w:val="en-US"/>
        </w:rPr>
        <w:t>geschreven</w:t>
      </w:r>
      <w:proofErr w:type="spellEnd"/>
      <w:r w:rsidR="00F76809" w:rsidRPr="0007005C">
        <w:rPr>
          <w:rFonts w:ascii="Calibri" w:eastAsia="Calibri" w:hAnsi="Calibri" w:cs="Calibri"/>
          <w:lang w:val="en-US"/>
        </w:rPr>
        <w:t xml:space="preserve"> </w:t>
      </w:r>
      <w:proofErr w:type="spellStart"/>
      <w:r w:rsidR="00F76809" w:rsidRPr="0007005C">
        <w:rPr>
          <w:rFonts w:ascii="Calibri" w:eastAsia="Calibri" w:hAnsi="Calibri" w:cs="Calibri"/>
          <w:lang w:val="en-US"/>
        </w:rPr>
        <w:t>dat</w:t>
      </w:r>
      <w:proofErr w:type="spellEnd"/>
      <w:r w:rsidR="00F76809" w:rsidRPr="0007005C">
        <w:rPr>
          <w:rFonts w:ascii="Calibri" w:eastAsia="Calibri" w:hAnsi="Calibri" w:cs="Calibri"/>
          <w:lang w:val="en-US"/>
        </w:rPr>
        <w:t xml:space="preserve"> “the </w:t>
      </w:r>
      <w:r w:rsidR="00F76809" w:rsidRPr="0007005C">
        <w:rPr>
          <w:rFonts w:ascii="Calibri" w:eastAsia="Calibri" w:hAnsi="Calibri" w:cs="Calibri"/>
          <w:lang w:val="en-US"/>
        </w:rPr>
        <w:lastRenderedPageBreak/>
        <w:t xml:space="preserve">provisions of paragraphs 3 and 4 are </w:t>
      </w:r>
      <w:r w:rsidR="00F76809" w:rsidRPr="0007005C">
        <w:rPr>
          <w:rFonts w:ascii="Calibri" w:eastAsia="Calibri" w:hAnsi="Calibri" w:cs="Calibri"/>
          <w:u w:val="single"/>
          <w:lang w:val="en-US"/>
        </w:rPr>
        <w:t>somewhat ambiguous and may be open to various interpretations</w:t>
      </w:r>
      <w:r w:rsidR="00F76809" w:rsidRPr="0007005C">
        <w:rPr>
          <w:rFonts w:ascii="Calibri" w:eastAsia="Calibri" w:hAnsi="Calibri" w:cs="Calibri"/>
          <w:lang w:val="en-US"/>
        </w:rPr>
        <w:t>".</w:t>
      </w:r>
      <w:r w:rsidR="00F76809" w:rsidRPr="00494E8D">
        <w:rPr>
          <w:rStyle w:val="Voetnootmarkering"/>
          <w:rFonts w:ascii="Calibri" w:eastAsia="Calibri" w:hAnsi="Calibri" w:cs="Calibri"/>
        </w:rPr>
        <w:footnoteReference w:id="52"/>
      </w:r>
      <w:r w:rsidR="008069A1" w:rsidRPr="0007005C">
        <w:rPr>
          <w:rFonts w:ascii="Calibri" w:eastAsia="Calibri" w:hAnsi="Calibri" w:cs="Calibri"/>
          <w:lang w:val="en-US"/>
        </w:rPr>
        <w:t xml:space="preserve"> </w:t>
      </w:r>
    </w:p>
    <w:p w14:paraId="1642084C" w14:textId="764051E5" w:rsidR="00EA19E6" w:rsidRPr="00494E8D" w:rsidRDefault="00C3611C" w:rsidP="00724FEF">
      <w:pPr>
        <w:pStyle w:val="Tekst"/>
        <w:numPr>
          <w:ilvl w:val="0"/>
          <w:numId w:val="0"/>
        </w:numPr>
        <w:jc w:val="both"/>
      </w:pPr>
      <w:r>
        <w:t xml:space="preserve">Evenwel </w:t>
      </w:r>
      <w:r w:rsidR="00EA19E6" w:rsidRPr="00494E8D">
        <w:t>staat er met betrekking tot de zinsnede “in overeenstemming met het internationale recht” in de zin van art. 21 lid 3 CCM:</w:t>
      </w:r>
    </w:p>
    <w:p w14:paraId="7E450DB1" w14:textId="77777777" w:rsidR="00EA19E6" w:rsidRPr="0007005C" w:rsidRDefault="00EA19E6" w:rsidP="00724FEF">
      <w:pPr>
        <w:pStyle w:val="Tekst"/>
        <w:numPr>
          <w:ilvl w:val="0"/>
          <w:numId w:val="0"/>
        </w:numPr>
        <w:ind w:left="708"/>
        <w:jc w:val="both"/>
        <w:rPr>
          <w:lang w:val="en-US"/>
        </w:rPr>
      </w:pPr>
      <w:r w:rsidRPr="0007005C">
        <w:rPr>
          <w:lang w:val="en-US"/>
        </w:rPr>
        <w:t xml:space="preserve">“Paragraph 3 of Article 21 makes it clear that the rule permitting engagement in military cooperation and operations only covers activities undertaken by a State Party in accordance with international law. </w:t>
      </w:r>
      <w:r w:rsidRPr="0007005C">
        <w:rPr>
          <w:u w:val="single"/>
          <w:lang w:val="en-US"/>
        </w:rPr>
        <w:t>Therefore, Article 21 cannot be interpreted as derogating from any other obligation under international law, including any relevant provision of international humanitarian or human rights law</w:t>
      </w:r>
      <w:r w:rsidRPr="0007005C">
        <w:rPr>
          <w:lang w:val="en-US"/>
        </w:rPr>
        <w:t>.”</w:t>
      </w:r>
      <w:r w:rsidRPr="00494E8D">
        <w:rPr>
          <w:rStyle w:val="Voetnootmarkering"/>
        </w:rPr>
        <w:footnoteReference w:id="53"/>
      </w:r>
    </w:p>
    <w:p w14:paraId="3E30AA3A" w14:textId="74E1C7C4" w:rsidR="00D47F08" w:rsidRPr="00C92AF8" w:rsidRDefault="00212FAD" w:rsidP="00724FEF">
      <w:pPr>
        <w:spacing w:before="240" w:after="240"/>
        <w:jc w:val="both"/>
        <w:rPr>
          <w:rFonts w:ascii="Calibri" w:eastAsia="Calibri" w:hAnsi="Calibri" w:cs="Calibri"/>
          <w:lang w:val="en-US"/>
        </w:rPr>
      </w:pPr>
      <w:r>
        <w:rPr>
          <w:rFonts w:ascii="Calibri" w:eastAsia="Calibri" w:hAnsi="Calibri" w:cs="Calibri"/>
        </w:rPr>
        <w:t xml:space="preserve">Een uitleg die stelt dat artikel 1 niet van toepassing is als artikel 21 lid 3 wordt ingeroepen kan </w:t>
      </w:r>
      <w:r w:rsidR="00C3611C">
        <w:rPr>
          <w:rFonts w:ascii="Calibri" w:eastAsia="Calibri" w:hAnsi="Calibri" w:cs="Calibri"/>
        </w:rPr>
        <w:t xml:space="preserve">dus </w:t>
      </w:r>
      <w:r>
        <w:rPr>
          <w:rFonts w:ascii="Calibri" w:eastAsia="Calibri" w:hAnsi="Calibri" w:cs="Calibri"/>
        </w:rPr>
        <w:t>geen standhouden.</w:t>
      </w:r>
      <w:r w:rsidR="008A4DEB">
        <w:rPr>
          <w:rFonts w:ascii="Calibri" w:eastAsia="Calibri" w:hAnsi="Calibri" w:cs="Calibri"/>
        </w:rPr>
        <w:t xml:space="preserve"> </w:t>
      </w:r>
      <w:r w:rsidR="008A4DEB" w:rsidRPr="00C92AF8">
        <w:rPr>
          <w:rFonts w:ascii="Calibri" w:eastAsia="Calibri" w:hAnsi="Calibri" w:cs="Calibri"/>
          <w:lang w:val="en-US"/>
        </w:rPr>
        <w:t xml:space="preserve">Zo </w:t>
      </w:r>
      <w:proofErr w:type="spellStart"/>
      <w:r w:rsidR="008A4DEB" w:rsidRPr="00C92AF8">
        <w:rPr>
          <w:rFonts w:ascii="Calibri" w:eastAsia="Calibri" w:hAnsi="Calibri" w:cs="Calibri"/>
          <w:lang w:val="en-US"/>
        </w:rPr>
        <w:t>legt</w:t>
      </w:r>
      <w:proofErr w:type="spellEnd"/>
      <w:r w:rsidR="008A4DEB" w:rsidRPr="00C92AF8">
        <w:rPr>
          <w:rFonts w:ascii="Calibri" w:eastAsia="Calibri" w:hAnsi="Calibri" w:cs="Calibri"/>
          <w:lang w:val="en-US"/>
        </w:rPr>
        <w:t xml:space="preserve"> </w:t>
      </w:r>
      <w:r w:rsidR="00D47F08" w:rsidRPr="00C92AF8">
        <w:rPr>
          <w:rFonts w:ascii="Calibri" w:eastAsia="Calibri" w:hAnsi="Calibri" w:cs="Calibri"/>
          <w:lang w:val="en-US"/>
        </w:rPr>
        <w:t xml:space="preserve">Human Rights Watch </w:t>
      </w:r>
      <w:proofErr w:type="spellStart"/>
      <w:r w:rsidR="00E73FA9" w:rsidRPr="00C92AF8">
        <w:rPr>
          <w:rFonts w:ascii="Calibri" w:eastAsia="Calibri" w:hAnsi="Calibri" w:cs="Calibri"/>
          <w:lang w:val="en-US"/>
        </w:rPr>
        <w:t>artikel</w:t>
      </w:r>
      <w:proofErr w:type="spellEnd"/>
      <w:r w:rsidR="00E73FA9" w:rsidRPr="00C92AF8">
        <w:rPr>
          <w:rFonts w:ascii="Calibri" w:eastAsia="Calibri" w:hAnsi="Calibri" w:cs="Calibri"/>
          <w:lang w:val="en-US"/>
        </w:rPr>
        <w:t xml:space="preserve"> 21 </w:t>
      </w:r>
      <w:proofErr w:type="spellStart"/>
      <w:r w:rsidR="00E73FA9" w:rsidRPr="00C92AF8">
        <w:rPr>
          <w:rFonts w:ascii="Calibri" w:eastAsia="Calibri" w:hAnsi="Calibri" w:cs="Calibri"/>
          <w:lang w:val="en-US"/>
        </w:rPr>
        <w:t>als</w:t>
      </w:r>
      <w:proofErr w:type="spellEnd"/>
      <w:r w:rsidR="00E73FA9" w:rsidRPr="00C92AF8">
        <w:rPr>
          <w:rFonts w:ascii="Calibri" w:eastAsia="Calibri" w:hAnsi="Calibri" w:cs="Calibri"/>
          <w:lang w:val="en-US"/>
        </w:rPr>
        <w:t xml:space="preserve"> </w:t>
      </w:r>
      <w:proofErr w:type="spellStart"/>
      <w:r w:rsidR="00E73FA9" w:rsidRPr="00C92AF8">
        <w:rPr>
          <w:rFonts w:ascii="Calibri" w:eastAsia="Calibri" w:hAnsi="Calibri" w:cs="Calibri"/>
          <w:lang w:val="en-US"/>
        </w:rPr>
        <w:t>volgt</w:t>
      </w:r>
      <w:proofErr w:type="spellEnd"/>
      <w:r w:rsidR="00E73FA9" w:rsidRPr="00C92AF8">
        <w:rPr>
          <w:rFonts w:ascii="Calibri" w:eastAsia="Calibri" w:hAnsi="Calibri" w:cs="Calibri"/>
          <w:lang w:val="en-US"/>
        </w:rPr>
        <w:t xml:space="preserve"> </w:t>
      </w:r>
      <w:proofErr w:type="spellStart"/>
      <w:r w:rsidR="00E73FA9" w:rsidRPr="00C92AF8">
        <w:rPr>
          <w:rFonts w:ascii="Calibri" w:eastAsia="Calibri" w:hAnsi="Calibri" w:cs="Calibri"/>
          <w:lang w:val="en-US"/>
        </w:rPr>
        <w:t>uit</w:t>
      </w:r>
      <w:proofErr w:type="spellEnd"/>
      <w:r w:rsidR="00D47F08" w:rsidRPr="00C92AF8">
        <w:rPr>
          <w:rFonts w:ascii="Calibri" w:eastAsia="Calibri" w:hAnsi="Calibri" w:cs="Calibri"/>
          <w:lang w:val="en-US"/>
        </w:rPr>
        <w:t xml:space="preserve">: </w:t>
      </w:r>
    </w:p>
    <w:p w14:paraId="6BFF4B8F" w14:textId="77777777" w:rsidR="00D47F08" w:rsidRPr="0007005C" w:rsidRDefault="00D47F08"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w:t>
      </w:r>
      <w:r w:rsidRPr="0007005C">
        <w:rPr>
          <w:rFonts w:ascii="Calibri" w:eastAsia="Calibri" w:hAnsi="Calibri" w:cs="Calibri"/>
          <w:u w:val="single"/>
          <w:lang w:val="en-US"/>
        </w:rPr>
        <w:t>Article 21 should be read to allow participation in joint military operations only when it does not amount to assistance with acts prohibited by the convention</w:t>
      </w:r>
      <w:r w:rsidRPr="0007005C">
        <w:rPr>
          <w:rFonts w:ascii="Calibri" w:eastAsia="Calibri" w:hAnsi="Calibri" w:cs="Calibri"/>
          <w:lang w:val="en-US"/>
        </w:rPr>
        <w:t>.</w:t>
      </w:r>
      <w:r w:rsidRPr="0007005C">
        <w:rPr>
          <w:rFonts w:ascii="Calibri" w:eastAsia="Calibri" w:hAnsi="Calibri" w:cs="Calibri"/>
          <w:u w:val="single"/>
          <w:lang w:val="en-US"/>
        </w:rPr>
        <w:t xml:space="preserve"> Some have argued that the ban on assistance does not apply during joint military operations. Such an interpretation is contrary to both the text and the object and purpose of the convention</w:t>
      </w:r>
      <w:r w:rsidRPr="0007005C">
        <w:rPr>
          <w:rFonts w:ascii="Calibri" w:eastAsia="Calibri" w:hAnsi="Calibri" w:cs="Calibri"/>
          <w:lang w:val="en-US"/>
        </w:rPr>
        <w:t xml:space="preserve">. The preamble describes the convention’s goal as: “to put an end for all time to the suffering and casualties caused by cluster munitions.” Allowing an exception to the prohibition on assistance could seriously undermine this aim. Cluster munitions and the harm they cause will never be eliminated if Article 21 is understood to permit parties to the convention to assist with acts prohibited under the convention. </w:t>
      </w:r>
      <w:r w:rsidRPr="0007005C">
        <w:rPr>
          <w:rFonts w:ascii="Calibri" w:eastAsia="Calibri" w:hAnsi="Calibri" w:cs="Calibri"/>
          <w:u w:val="single"/>
          <w:lang w:val="en-US"/>
        </w:rPr>
        <w:t>Thus, the prohibition on assistance must apply at all times, including during joint military operations</w:t>
      </w:r>
      <w:r w:rsidRPr="0007005C">
        <w:rPr>
          <w:rFonts w:ascii="Calibri" w:eastAsia="Calibri" w:hAnsi="Calibri" w:cs="Calibri"/>
          <w:lang w:val="en-US"/>
        </w:rPr>
        <w:t>.”</w:t>
      </w:r>
      <w:r w:rsidRPr="00494E8D">
        <w:rPr>
          <w:rStyle w:val="Voetnootmarkering"/>
          <w:rFonts w:ascii="Calibri" w:eastAsia="Calibri" w:hAnsi="Calibri" w:cs="Calibri"/>
        </w:rPr>
        <w:footnoteReference w:id="54"/>
      </w:r>
    </w:p>
    <w:p w14:paraId="3C029AA5" w14:textId="77777777" w:rsidR="00D47F08" w:rsidRPr="00494E8D" w:rsidRDefault="00D47F08" w:rsidP="00724FEF">
      <w:pPr>
        <w:spacing w:before="240" w:after="240"/>
        <w:jc w:val="both"/>
        <w:rPr>
          <w:rFonts w:ascii="Calibri" w:eastAsia="Calibri" w:hAnsi="Calibri" w:cs="Calibri"/>
        </w:rPr>
      </w:pPr>
      <w:r w:rsidRPr="00494E8D">
        <w:rPr>
          <w:rFonts w:ascii="Calibri" w:eastAsia="Calibri" w:hAnsi="Calibri" w:cs="Calibri"/>
        </w:rPr>
        <w:t>Verderop vervolgt HRW de uitleg waarom dit verbod zo breed geïnterpreteerd moet worden:</w:t>
      </w:r>
    </w:p>
    <w:p w14:paraId="4AF382C8" w14:textId="77777777" w:rsidR="00D47F08" w:rsidRPr="0007005C" w:rsidRDefault="00D47F08"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“The language of Article 1(1)(c) is expansive and unqualified. It specifies that the ban on assistance applies to “anyone” under “any circumstances.” Furthermore, the text does not limit the scope of the ban: it does not single out a specific type of assistance, such as that which is direct or indirect, or limit the ban to active assistance.</w:t>
      </w:r>
      <w:r w:rsidRPr="0007005C">
        <w:rPr>
          <w:rFonts w:ascii="Calibri" w:eastAsia="Calibri" w:hAnsi="Calibri" w:cs="Calibri"/>
          <w:u w:val="single"/>
          <w:lang w:val="en-US"/>
        </w:rPr>
        <w:t xml:space="preserve"> A close reading of Article 1 shows that the ban on assistance is applicable in all situations.</w:t>
      </w:r>
      <w:r w:rsidRPr="0007005C">
        <w:rPr>
          <w:rFonts w:ascii="Calibri" w:eastAsia="Calibri" w:hAnsi="Calibri" w:cs="Calibri"/>
          <w:lang w:val="en-US"/>
        </w:rPr>
        <w:t xml:space="preserve"> The convention’s object and purpose also demand a broad interpretation of the prohibition on assistance. </w:t>
      </w:r>
      <w:r w:rsidRPr="0007005C">
        <w:rPr>
          <w:rFonts w:ascii="Calibri" w:eastAsia="Calibri" w:hAnsi="Calibri" w:cs="Calibri"/>
          <w:u w:val="single"/>
          <w:lang w:val="en-US"/>
        </w:rPr>
        <w:t>The convention aims, as articulated in its preamble, to eradicate for all time the harm caused by cluster munitions. This harm will never cease, however, unless the prohibition on assistance is understood as absolute</w:t>
      </w:r>
      <w:r w:rsidRPr="0007005C">
        <w:rPr>
          <w:rFonts w:ascii="Calibri" w:eastAsia="Calibri" w:hAnsi="Calibri" w:cs="Calibri"/>
          <w:lang w:val="en-US"/>
        </w:rPr>
        <w:t>.”</w:t>
      </w:r>
      <w:r w:rsidRPr="00494E8D">
        <w:rPr>
          <w:rStyle w:val="Voetnootmarkering"/>
          <w:rFonts w:ascii="Calibri" w:eastAsia="Calibri" w:hAnsi="Calibri" w:cs="Calibri"/>
        </w:rPr>
        <w:footnoteReference w:id="55"/>
      </w:r>
    </w:p>
    <w:p w14:paraId="6391C9AC" w14:textId="77777777" w:rsidR="00A33FA5" w:rsidRDefault="005571E4" w:rsidP="00A33FA5">
      <w:pPr>
        <w:jc w:val="both"/>
        <w:rPr>
          <w:rFonts w:ascii="Calibri" w:eastAsia="Calibri" w:hAnsi="Calibri" w:cs="Calibri"/>
        </w:rPr>
      </w:pPr>
      <w:r>
        <w:rPr>
          <w:rFonts w:ascii="Calibri" w:eastAsia="Calibri" w:hAnsi="Calibri" w:cs="Calibri"/>
        </w:rPr>
        <w:t>Artikel 21 l</w:t>
      </w:r>
      <w:r w:rsidR="00EA19E6" w:rsidRPr="00494E8D">
        <w:rPr>
          <w:rFonts w:ascii="Calibri" w:eastAsia="Calibri" w:hAnsi="Calibri" w:cs="Calibri"/>
        </w:rPr>
        <w:t>id 4</w:t>
      </w:r>
      <w:r w:rsidR="00AC6CAF">
        <w:rPr>
          <w:rFonts w:ascii="Calibri" w:eastAsia="Calibri" w:hAnsi="Calibri" w:cs="Calibri"/>
        </w:rPr>
        <w:t xml:space="preserve"> </w:t>
      </w:r>
      <w:r>
        <w:rPr>
          <w:rFonts w:ascii="Calibri" w:eastAsia="Calibri" w:hAnsi="Calibri" w:cs="Calibri"/>
        </w:rPr>
        <w:t>maakt voor een aantal situaties wel duidelijk waar de grenzen van lid 3 liggen</w:t>
      </w:r>
      <w:r w:rsidR="00B607F3">
        <w:rPr>
          <w:rFonts w:ascii="Calibri" w:eastAsia="Calibri" w:hAnsi="Calibri" w:cs="Calibri"/>
        </w:rPr>
        <w:t xml:space="preserve">. Het </w:t>
      </w:r>
      <w:r w:rsidR="00193E7E" w:rsidRPr="00494E8D">
        <w:rPr>
          <w:rFonts w:ascii="Calibri" w:eastAsia="Calibri" w:hAnsi="Calibri" w:cs="Calibri"/>
        </w:rPr>
        <w:t>is bedoeld om de reikwijdte van lid 3 te verduidelijken door voorbeelden te geven van activiteiten die</w:t>
      </w:r>
      <w:r w:rsidR="007B382C">
        <w:rPr>
          <w:rFonts w:ascii="Calibri" w:eastAsia="Calibri" w:hAnsi="Calibri" w:cs="Calibri"/>
        </w:rPr>
        <w:t xml:space="preserve"> (ook)</w:t>
      </w:r>
      <w:r w:rsidR="00193E7E" w:rsidRPr="00494E8D">
        <w:rPr>
          <w:rFonts w:ascii="Calibri" w:eastAsia="Calibri" w:hAnsi="Calibri" w:cs="Calibri"/>
        </w:rPr>
        <w:t xml:space="preserve"> niet zijn toegestaan </w:t>
      </w:r>
      <w:r w:rsidR="007B382C">
        <w:rPr>
          <w:rFonts w:ascii="Calibri" w:eastAsia="Calibri" w:hAnsi="Calibri" w:cs="Calibri"/>
        </w:rPr>
        <w:t>in de situatie van</w:t>
      </w:r>
      <w:r w:rsidR="00193E7E" w:rsidRPr="00494E8D">
        <w:rPr>
          <w:rFonts w:ascii="Calibri" w:eastAsia="Calibri" w:hAnsi="Calibri" w:cs="Calibri"/>
        </w:rPr>
        <w:t xml:space="preserve"> lid 3.</w:t>
      </w:r>
      <w:r w:rsidR="00193E7E" w:rsidRPr="00494E8D">
        <w:rPr>
          <w:rStyle w:val="Voetnootmarkering"/>
          <w:rFonts w:ascii="Calibri" w:eastAsia="Calibri" w:hAnsi="Calibri" w:cs="Calibri"/>
        </w:rPr>
        <w:footnoteReference w:id="56"/>
      </w:r>
      <w:r w:rsidR="00193E7E">
        <w:rPr>
          <w:rFonts w:ascii="Calibri" w:eastAsia="Calibri" w:hAnsi="Calibri" w:cs="Calibri"/>
        </w:rPr>
        <w:t xml:space="preserve"> Daaruit volgt dat een verdragsstaat geen recht heeft </w:t>
      </w:r>
      <w:r w:rsidR="00193E7E">
        <w:rPr>
          <w:rFonts w:ascii="Calibri" w:eastAsia="Calibri" w:hAnsi="Calibri" w:cs="Calibri"/>
        </w:rPr>
        <w:lastRenderedPageBreak/>
        <w:t>in een situatie van militaire samenwerking om, net als uit artikel 1 volgt, clustermunitie te gebruiken, het gebruik ervan te verzoeken of het te ontwikkelen.</w:t>
      </w:r>
      <w:r w:rsidR="00B607F3">
        <w:rPr>
          <w:rFonts w:ascii="Calibri" w:eastAsia="Calibri" w:hAnsi="Calibri" w:cs="Calibri"/>
        </w:rPr>
        <w:t xml:space="preserve"> </w:t>
      </w:r>
      <w:r w:rsidR="00677920">
        <w:rPr>
          <w:rFonts w:ascii="Calibri" w:eastAsia="Calibri" w:hAnsi="Calibri" w:cs="Calibri"/>
        </w:rPr>
        <w:t>D</w:t>
      </w:r>
      <w:r w:rsidR="00B607F3">
        <w:rPr>
          <w:rFonts w:ascii="Calibri" w:eastAsia="Calibri" w:hAnsi="Calibri" w:cs="Calibri"/>
        </w:rPr>
        <w:t>it</w:t>
      </w:r>
      <w:r w:rsidR="00677920">
        <w:rPr>
          <w:rFonts w:ascii="Calibri" w:eastAsia="Calibri" w:hAnsi="Calibri" w:cs="Calibri"/>
        </w:rPr>
        <w:t xml:space="preserve"> vierde</w:t>
      </w:r>
      <w:r w:rsidR="00B607F3">
        <w:rPr>
          <w:rFonts w:ascii="Calibri" w:eastAsia="Calibri" w:hAnsi="Calibri" w:cs="Calibri"/>
        </w:rPr>
        <w:t xml:space="preserve"> lid </w:t>
      </w:r>
      <w:r w:rsidR="00677920">
        <w:rPr>
          <w:rFonts w:ascii="Calibri" w:eastAsia="Calibri" w:hAnsi="Calibri" w:cs="Calibri"/>
        </w:rPr>
        <w:t xml:space="preserve">noemt </w:t>
      </w:r>
      <w:r w:rsidR="00B607F3">
        <w:rPr>
          <w:rFonts w:ascii="Calibri" w:eastAsia="Calibri" w:hAnsi="Calibri" w:cs="Calibri"/>
        </w:rPr>
        <w:t xml:space="preserve">steun </w:t>
      </w:r>
      <w:r w:rsidR="00677920">
        <w:rPr>
          <w:rFonts w:ascii="Calibri" w:eastAsia="Calibri" w:hAnsi="Calibri" w:cs="Calibri"/>
        </w:rPr>
        <w:t>niet expliciet</w:t>
      </w:r>
      <w:r w:rsidR="00B607F3">
        <w:rPr>
          <w:rFonts w:ascii="Calibri" w:eastAsia="Calibri" w:hAnsi="Calibri" w:cs="Calibri"/>
        </w:rPr>
        <w:t xml:space="preserve">. </w:t>
      </w:r>
      <w:r w:rsidR="007B0CC5">
        <w:rPr>
          <w:rFonts w:ascii="Calibri" w:eastAsia="Calibri" w:hAnsi="Calibri" w:cs="Calibri"/>
        </w:rPr>
        <w:t>Dit lid</w:t>
      </w:r>
      <w:r w:rsidR="00D64F03">
        <w:rPr>
          <w:rFonts w:ascii="Calibri" w:eastAsia="Calibri" w:hAnsi="Calibri" w:cs="Calibri"/>
        </w:rPr>
        <w:t xml:space="preserve"> is</w:t>
      </w:r>
      <w:r w:rsidR="00B607F3" w:rsidRPr="00494E8D">
        <w:rPr>
          <w:rFonts w:ascii="Calibri" w:eastAsia="Calibri" w:hAnsi="Calibri" w:cs="Calibri"/>
        </w:rPr>
        <w:t xml:space="preserve"> volgens HRW </w:t>
      </w:r>
      <w:r w:rsidR="00F92BE3">
        <w:rPr>
          <w:rFonts w:ascii="Calibri" w:eastAsia="Calibri" w:hAnsi="Calibri" w:cs="Calibri"/>
        </w:rPr>
        <w:t xml:space="preserve">echter </w:t>
      </w:r>
      <w:r w:rsidR="00B607F3" w:rsidRPr="00494E8D">
        <w:rPr>
          <w:rFonts w:ascii="Calibri" w:eastAsia="Calibri" w:hAnsi="Calibri" w:cs="Calibri"/>
        </w:rPr>
        <w:t xml:space="preserve">slechts een lijst met </w:t>
      </w:r>
      <w:r w:rsidR="00B607F3" w:rsidRPr="00494E8D">
        <w:rPr>
          <w:rFonts w:ascii="Calibri" w:eastAsia="Calibri" w:hAnsi="Calibri" w:cs="Calibri"/>
          <w:i/>
          <w:iCs/>
        </w:rPr>
        <w:t xml:space="preserve">voorbeelden </w:t>
      </w:r>
      <w:r w:rsidR="00B607F3" w:rsidRPr="00494E8D">
        <w:rPr>
          <w:rFonts w:ascii="Calibri" w:eastAsia="Calibri" w:hAnsi="Calibri" w:cs="Calibri"/>
        </w:rPr>
        <w:t xml:space="preserve">van verboden activiteiten, </w:t>
      </w:r>
      <w:r w:rsidR="00F92BE3">
        <w:rPr>
          <w:rFonts w:ascii="Calibri" w:eastAsia="Calibri" w:hAnsi="Calibri" w:cs="Calibri"/>
        </w:rPr>
        <w:t xml:space="preserve">het is </w:t>
      </w:r>
      <w:r w:rsidR="00B607F3" w:rsidRPr="00494E8D">
        <w:rPr>
          <w:rFonts w:ascii="Calibri" w:eastAsia="Calibri" w:hAnsi="Calibri" w:cs="Calibri"/>
        </w:rPr>
        <w:t>geen uitputtende lijst.</w:t>
      </w:r>
      <w:r w:rsidR="00B607F3" w:rsidRPr="00494E8D">
        <w:rPr>
          <w:rStyle w:val="Voetnootmarkering"/>
          <w:rFonts w:ascii="Calibri" w:eastAsia="Calibri" w:hAnsi="Calibri" w:cs="Calibri"/>
        </w:rPr>
        <w:footnoteReference w:id="57"/>
      </w:r>
      <w:r w:rsidR="00B607F3">
        <w:rPr>
          <w:rFonts w:ascii="Calibri" w:eastAsia="Calibri" w:hAnsi="Calibri" w:cs="Calibri"/>
        </w:rPr>
        <w:t xml:space="preserve"> </w:t>
      </w:r>
    </w:p>
    <w:p w14:paraId="5B8DC5E9" w14:textId="4EF6810A" w:rsidR="00EA19E6" w:rsidRPr="0007005C" w:rsidRDefault="00AC6CAF" w:rsidP="00A33FA5">
      <w:pPr>
        <w:jc w:val="both"/>
        <w:rPr>
          <w:rFonts w:ascii="Calibri" w:eastAsia="Calibri" w:hAnsi="Calibri" w:cs="Calibri"/>
          <w:lang w:val="en-US"/>
        </w:rPr>
      </w:pPr>
      <w:r>
        <w:rPr>
          <w:rFonts w:ascii="Calibri" w:eastAsia="Calibri" w:hAnsi="Calibri" w:cs="Calibri"/>
        </w:rPr>
        <w:t>Ongeacht o</w:t>
      </w:r>
      <w:r w:rsidR="00EA19E6" w:rsidRPr="00494E8D">
        <w:rPr>
          <w:rFonts w:ascii="Calibri" w:eastAsia="Calibri" w:hAnsi="Calibri" w:cs="Calibri"/>
        </w:rPr>
        <w:t>f</w:t>
      </w:r>
      <w:r>
        <w:rPr>
          <w:rFonts w:ascii="Calibri" w:eastAsia="Calibri" w:hAnsi="Calibri" w:cs="Calibri"/>
        </w:rPr>
        <w:t xml:space="preserve"> de in</w:t>
      </w:r>
      <w:r w:rsidR="00EA19E6" w:rsidRPr="00494E8D">
        <w:rPr>
          <w:rFonts w:ascii="Calibri" w:eastAsia="Calibri" w:hAnsi="Calibri" w:cs="Calibri"/>
        </w:rPr>
        <w:t xml:space="preserve"> lid 4 </w:t>
      </w:r>
      <w:r>
        <w:rPr>
          <w:rFonts w:ascii="Calibri" w:eastAsia="Calibri" w:hAnsi="Calibri" w:cs="Calibri"/>
        </w:rPr>
        <w:t>genoemde beperking</w:t>
      </w:r>
      <w:r w:rsidR="00BC3F1E">
        <w:rPr>
          <w:rFonts w:ascii="Calibri" w:eastAsia="Calibri" w:hAnsi="Calibri" w:cs="Calibri"/>
        </w:rPr>
        <w:t>en</w:t>
      </w:r>
      <w:r>
        <w:rPr>
          <w:rFonts w:ascii="Calibri" w:eastAsia="Calibri" w:hAnsi="Calibri" w:cs="Calibri"/>
        </w:rPr>
        <w:t xml:space="preserve"> </w:t>
      </w:r>
      <w:r w:rsidR="00F63ECD">
        <w:rPr>
          <w:rFonts w:ascii="Calibri" w:eastAsia="Calibri" w:hAnsi="Calibri" w:cs="Calibri"/>
        </w:rPr>
        <w:t xml:space="preserve">limitatief </w:t>
      </w:r>
      <w:r w:rsidR="00A33FA5">
        <w:rPr>
          <w:rFonts w:ascii="Calibri" w:eastAsia="Calibri" w:hAnsi="Calibri" w:cs="Calibri"/>
        </w:rPr>
        <w:t xml:space="preserve">bedoeld </w:t>
      </w:r>
      <w:r w:rsidR="00F63ECD">
        <w:rPr>
          <w:rFonts w:ascii="Calibri" w:eastAsia="Calibri" w:hAnsi="Calibri" w:cs="Calibri"/>
        </w:rPr>
        <w:t xml:space="preserve">zijn of slechts </w:t>
      </w:r>
      <w:r w:rsidR="00A33FA5">
        <w:rPr>
          <w:rFonts w:ascii="Calibri" w:eastAsia="Calibri" w:hAnsi="Calibri" w:cs="Calibri"/>
        </w:rPr>
        <w:t xml:space="preserve">als </w:t>
      </w:r>
      <w:r w:rsidR="00F63ECD">
        <w:rPr>
          <w:rFonts w:ascii="Calibri" w:eastAsia="Calibri" w:hAnsi="Calibri" w:cs="Calibri"/>
        </w:rPr>
        <w:t xml:space="preserve">voorbeelden </w:t>
      </w:r>
      <w:r w:rsidR="00A33FA5">
        <w:rPr>
          <w:rFonts w:ascii="Calibri" w:eastAsia="Calibri" w:hAnsi="Calibri" w:cs="Calibri"/>
        </w:rPr>
        <w:t xml:space="preserve">gelden, </w:t>
      </w:r>
      <w:r w:rsidR="00F63ECD">
        <w:rPr>
          <w:rFonts w:ascii="Calibri" w:eastAsia="Calibri" w:hAnsi="Calibri" w:cs="Calibri"/>
        </w:rPr>
        <w:t xml:space="preserve">geldt dat het niet-expliciet </w:t>
      </w:r>
      <w:r w:rsidR="00D64F03">
        <w:rPr>
          <w:rFonts w:ascii="Calibri" w:eastAsia="Calibri" w:hAnsi="Calibri" w:cs="Calibri"/>
        </w:rPr>
        <w:t>be</w:t>
      </w:r>
      <w:r w:rsidR="00F63ECD">
        <w:rPr>
          <w:rFonts w:ascii="Calibri" w:eastAsia="Calibri" w:hAnsi="Calibri" w:cs="Calibri"/>
        </w:rPr>
        <w:t xml:space="preserve">noemen </w:t>
      </w:r>
      <w:r w:rsidR="00D64F03">
        <w:rPr>
          <w:rFonts w:ascii="Calibri" w:eastAsia="Calibri" w:hAnsi="Calibri" w:cs="Calibri"/>
        </w:rPr>
        <w:t>dat bepaalde steun niet is toegestaan</w:t>
      </w:r>
      <w:r w:rsidR="001552CD">
        <w:rPr>
          <w:rFonts w:ascii="Calibri" w:eastAsia="Calibri" w:hAnsi="Calibri" w:cs="Calibri"/>
        </w:rPr>
        <w:t>,</w:t>
      </w:r>
      <w:r w:rsidR="00F63ECD">
        <w:rPr>
          <w:rFonts w:ascii="Calibri" w:eastAsia="Calibri" w:hAnsi="Calibri" w:cs="Calibri"/>
        </w:rPr>
        <w:t xml:space="preserve"> </w:t>
      </w:r>
      <w:r w:rsidR="00934345">
        <w:rPr>
          <w:rFonts w:ascii="Calibri" w:eastAsia="Calibri" w:hAnsi="Calibri" w:cs="Calibri"/>
        </w:rPr>
        <w:t xml:space="preserve">niet maakt dat het </w:t>
      </w:r>
      <w:r w:rsidR="001552CD">
        <w:rPr>
          <w:rFonts w:ascii="Calibri" w:eastAsia="Calibri" w:hAnsi="Calibri" w:cs="Calibri"/>
        </w:rPr>
        <w:t xml:space="preserve">dan wel zou zijn </w:t>
      </w:r>
      <w:r w:rsidR="00934345">
        <w:rPr>
          <w:rFonts w:ascii="Calibri" w:eastAsia="Calibri" w:hAnsi="Calibri" w:cs="Calibri"/>
        </w:rPr>
        <w:t>toegestaan onder lid 3.</w:t>
      </w:r>
      <w:r w:rsidR="00EA19E6" w:rsidRPr="00494E8D">
        <w:rPr>
          <w:rFonts w:ascii="Calibri" w:eastAsia="Calibri" w:hAnsi="Calibri" w:cs="Calibri"/>
        </w:rPr>
        <w:t xml:space="preserve"> </w:t>
      </w:r>
      <w:r w:rsidR="00EA19E6" w:rsidRPr="0007005C">
        <w:rPr>
          <w:rFonts w:ascii="Calibri" w:eastAsia="Calibri" w:hAnsi="Calibri" w:cs="Calibri"/>
          <w:lang w:val="en-US"/>
        </w:rPr>
        <w:t xml:space="preserve">In het </w:t>
      </w:r>
      <w:proofErr w:type="spellStart"/>
      <w:r w:rsidR="00EA19E6" w:rsidRPr="0007005C">
        <w:rPr>
          <w:rFonts w:ascii="Calibri" w:eastAsia="Calibri" w:hAnsi="Calibri" w:cs="Calibri"/>
          <w:lang w:val="en-US"/>
        </w:rPr>
        <w:t>commentaar</w:t>
      </w:r>
      <w:proofErr w:type="spellEnd"/>
      <w:r w:rsidR="00EA19E6" w:rsidRPr="0007005C">
        <w:rPr>
          <w:rFonts w:ascii="Calibri" w:eastAsia="Calibri" w:hAnsi="Calibri" w:cs="Calibri"/>
          <w:lang w:val="en-US"/>
        </w:rPr>
        <w:t xml:space="preserve"> </w:t>
      </w:r>
      <w:proofErr w:type="spellStart"/>
      <w:r w:rsidR="00EA19E6" w:rsidRPr="0007005C">
        <w:rPr>
          <w:rFonts w:ascii="Calibri" w:eastAsia="Calibri" w:hAnsi="Calibri" w:cs="Calibri"/>
          <w:lang w:val="en-US"/>
        </w:rPr>
        <w:t>schrijft</w:t>
      </w:r>
      <w:proofErr w:type="spellEnd"/>
      <w:r w:rsidR="00EA19E6" w:rsidRPr="0007005C">
        <w:rPr>
          <w:rFonts w:ascii="Calibri" w:eastAsia="Calibri" w:hAnsi="Calibri" w:cs="Calibri"/>
          <w:lang w:val="en-US"/>
        </w:rPr>
        <w:t xml:space="preserve"> Casey-Maslen </w:t>
      </w:r>
      <w:proofErr w:type="spellStart"/>
      <w:r w:rsidR="00EA19E6" w:rsidRPr="0007005C">
        <w:rPr>
          <w:rFonts w:ascii="Calibri" w:eastAsia="Calibri" w:hAnsi="Calibri" w:cs="Calibri"/>
          <w:lang w:val="en-US"/>
        </w:rPr>
        <w:t>hierover</w:t>
      </w:r>
      <w:proofErr w:type="spellEnd"/>
      <w:r w:rsidR="00EA19E6" w:rsidRPr="0007005C">
        <w:rPr>
          <w:rFonts w:ascii="Calibri" w:eastAsia="Calibri" w:hAnsi="Calibri" w:cs="Calibri"/>
          <w:lang w:val="en-US"/>
        </w:rPr>
        <w:t>:</w:t>
      </w:r>
    </w:p>
    <w:p w14:paraId="68EE68D0" w14:textId="77777777" w:rsidR="00EA19E6" w:rsidRPr="000129C5" w:rsidRDefault="00EA19E6"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 xml:space="preserve">“Even if, however, one accepts the proposition that the activities listed in paragraph 4 are exhaustive and should not be read as examples of prohibited conduct in interoperability situations, it does not necessarily follow that any activity not listed would have to be regarded as ‘authorized’ by paragraph 3 and therefore permitted. Indeed, when read in the light of the context of the Convention as a whole and in the light of its object and purpose, it would be difficult to accept such an understanding of paragraph 4. </w:t>
      </w:r>
      <w:r w:rsidRPr="000129C5">
        <w:rPr>
          <w:rFonts w:ascii="Calibri" w:eastAsia="Calibri" w:hAnsi="Calibri" w:cs="Calibri"/>
          <w:lang w:val="en-US"/>
        </w:rPr>
        <w:t>As we shall see, it would be particularly difficult to reconcile the obligation to discourage States not party from using cluster munitions laid down in paragraph 2 of Article 21 with the notion that a State Party might still be permitted to assist in the use of cluster munitions by that State not party.”</w:t>
      </w:r>
      <w:r w:rsidRPr="000129C5">
        <w:rPr>
          <w:rStyle w:val="Voetnootmarkering"/>
          <w:rFonts w:ascii="Calibri" w:eastAsia="Calibri" w:hAnsi="Calibri" w:cs="Calibri"/>
        </w:rPr>
        <w:footnoteReference w:id="58"/>
      </w:r>
    </w:p>
    <w:p w14:paraId="2C104D30" w14:textId="6C1ADF39" w:rsidR="00D348E4" w:rsidRDefault="00D348E4" w:rsidP="00724FEF">
      <w:pPr>
        <w:spacing w:before="240" w:after="240"/>
        <w:jc w:val="both"/>
        <w:rPr>
          <w:rFonts w:ascii="Calibri" w:eastAsia="Calibri" w:hAnsi="Calibri" w:cs="Calibri"/>
        </w:rPr>
      </w:pPr>
      <w:r>
        <w:rPr>
          <w:rFonts w:ascii="Calibri" w:eastAsia="Calibri" w:hAnsi="Calibri" w:cs="Calibri"/>
        </w:rPr>
        <w:t xml:space="preserve">Wat artikel 21 lid 3 duidelijk maakt is dat er steun kan bestaan waarbij er samengewerkt wordt op militair gebied met een niet-verdragsstaat die mogelijk clustermunitie gebruikt en dit niet geldt als steun aan verboden handelen onder het verdrag zoals het gebruik van clustermunitie. </w:t>
      </w:r>
      <w:r w:rsidR="00415F8E">
        <w:rPr>
          <w:rFonts w:ascii="Calibri" w:eastAsia="Calibri" w:hAnsi="Calibri" w:cs="Calibri"/>
        </w:rPr>
        <w:t xml:space="preserve">Welke steun in deze context als niet verboden kan worden beschouwd is niet gedefinieerd, enkel wat in ieder geval nog steeds verboden is. Zolang </w:t>
      </w:r>
      <w:r w:rsidR="00F56D8A">
        <w:rPr>
          <w:rFonts w:ascii="Calibri" w:eastAsia="Calibri" w:hAnsi="Calibri" w:cs="Calibri"/>
        </w:rPr>
        <w:t>steun bij een samenwerking op militair gebied niet in strijd is met het verbod op steun aan verboden activiteiten uit artikel 1 en in lijn is met het internationaal recht is het in beginsel toe</w:t>
      </w:r>
      <w:r w:rsidR="00F35007">
        <w:rPr>
          <w:rFonts w:ascii="Calibri" w:eastAsia="Calibri" w:hAnsi="Calibri" w:cs="Calibri"/>
        </w:rPr>
        <w:t>laatbare steun</w:t>
      </w:r>
      <w:r w:rsidR="00F56D8A">
        <w:rPr>
          <w:rFonts w:ascii="Calibri" w:eastAsia="Calibri" w:hAnsi="Calibri" w:cs="Calibri"/>
        </w:rPr>
        <w:t xml:space="preserve">. </w:t>
      </w:r>
      <w:r w:rsidR="00415F8E">
        <w:rPr>
          <w:rFonts w:ascii="Calibri" w:eastAsia="Calibri" w:hAnsi="Calibri" w:cs="Calibri"/>
        </w:rPr>
        <w:t xml:space="preserve"> </w:t>
      </w:r>
    </w:p>
    <w:p w14:paraId="465C245C" w14:textId="77777777" w:rsidR="00B607F3" w:rsidRPr="00C92AF8" w:rsidRDefault="00B607F3" w:rsidP="00724FEF">
      <w:pPr>
        <w:spacing w:before="240" w:after="240"/>
        <w:jc w:val="both"/>
        <w:rPr>
          <w:rFonts w:ascii="Calibri" w:eastAsia="Calibri" w:hAnsi="Calibri" w:cs="Calibri"/>
        </w:rPr>
      </w:pPr>
    </w:p>
    <w:p w14:paraId="4EA6A468" w14:textId="2395E864" w:rsidR="00B607F3" w:rsidRDefault="00A06CD2" w:rsidP="00724FEF">
      <w:pPr>
        <w:pStyle w:val="Kop2"/>
        <w:jc w:val="both"/>
        <w:rPr>
          <w:rFonts w:eastAsia="Calibri"/>
        </w:rPr>
      </w:pPr>
      <w:bookmarkStart w:id="12" w:name="_Toc185491847"/>
      <w:r>
        <w:rPr>
          <w:rFonts w:eastAsia="Calibri"/>
        </w:rPr>
        <w:t>Weerhouden van gebruik (i</w:t>
      </w:r>
      <w:r w:rsidR="00B607F3">
        <w:rPr>
          <w:rFonts w:eastAsia="Calibri"/>
        </w:rPr>
        <w:t>nspanningsverplichting</w:t>
      </w:r>
      <w:r>
        <w:rPr>
          <w:rFonts w:eastAsia="Calibri"/>
        </w:rPr>
        <w:t>)</w:t>
      </w:r>
      <w:bookmarkEnd w:id="12"/>
    </w:p>
    <w:p w14:paraId="05EFA343" w14:textId="3CB6E2E6" w:rsidR="005920DD" w:rsidRDefault="005920DD" w:rsidP="00724FEF">
      <w:pPr>
        <w:jc w:val="both"/>
        <w:rPr>
          <w:rFonts w:ascii="Calibri" w:eastAsia="Calibri" w:hAnsi="Calibri" w:cs="Calibri"/>
        </w:rPr>
      </w:pPr>
      <w:r>
        <w:rPr>
          <w:rFonts w:ascii="Calibri" w:eastAsia="Calibri" w:hAnsi="Calibri" w:cs="Calibri"/>
        </w:rPr>
        <w:t>Uit a</w:t>
      </w:r>
      <w:r w:rsidRPr="00494E8D">
        <w:rPr>
          <w:rFonts w:ascii="Calibri" w:eastAsia="Calibri" w:hAnsi="Calibri" w:cs="Calibri"/>
        </w:rPr>
        <w:t>rt</w:t>
      </w:r>
      <w:r>
        <w:rPr>
          <w:rFonts w:ascii="Calibri" w:eastAsia="Calibri" w:hAnsi="Calibri" w:cs="Calibri"/>
        </w:rPr>
        <w:t xml:space="preserve">ikel </w:t>
      </w:r>
      <w:r w:rsidRPr="00494E8D">
        <w:rPr>
          <w:rFonts w:ascii="Calibri" w:eastAsia="Calibri" w:hAnsi="Calibri" w:cs="Calibri"/>
        </w:rPr>
        <w:t xml:space="preserve">21 lid 2 </w:t>
      </w:r>
      <w:r w:rsidR="00961C05">
        <w:rPr>
          <w:rFonts w:ascii="Calibri" w:eastAsia="Calibri" w:hAnsi="Calibri" w:cs="Calibri"/>
        </w:rPr>
        <w:t>samen met lid</w:t>
      </w:r>
      <w:r>
        <w:rPr>
          <w:rFonts w:ascii="Calibri" w:eastAsia="Calibri" w:hAnsi="Calibri" w:cs="Calibri"/>
        </w:rPr>
        <w:t xml:space="preserve"> 3 CCM volgt een inspanningsverplichting voor de Staat om met alle staten die geen partij zijn bij het verdrag met wie hij op </w:t>
      </w:r>
      <w:r w:rsidRPr="00B33F0B">
        <w:rPr>
          <w:rFonts w:ascii="Calibri" w:eastAsia="Calibri" w:hAnsi="Calibri" w:cs="Calibri"/>
        </w:rPr>
        <w:t>militair gebied samenwerk</w:t>
      </w:r>
      <w:r>
        <w:rPr>
          <w:rFonts w:ascii="Calibri" w:eastAsia="Calibri" w:hAnsi="Calibri" w:cs="Calibri"/>
        </w:rPr>
        <w:t xml:space="preserve">t of </w:t>
      </w:r>
      <w:r w:rsidRPr="00B33F0B">
        <w:rPr>
          <w:rFonts w:ascii="Calibri" w:eastAsia="Calibri" w:hAnsi="Calibri" w:cs="Calibri"/>
        </w:rPr>
        <w:t>militaire operaties uitvoer</w:t>
      </w:r>
      <w:r>
        <w:rPr>
          <w:rFonts w:ascii="Calibri" w:eastAsia="Calibri" w:hAnsi="Calibri" w:cs="Calibri"/>
        </w:rPr>
        <w:t>t en die mogelijk gebruik ma</w:t>
      </w:r>
      <w:r w:rsidR="0099500A">
        <w:rPr>
          <w:rFonts w:ascii="Calibri" w:eastAsia="Calibri" w:hAnsi="Calibri" w:cs="Calibri"/>
        </w:rPr>
        <w:t>ken</w:t>
      </w:r>
      <w:r>
        <w:rPr>
          <w:rFonts w:ascii="Calibri" w:eastAsia="Calibri" w:hAnsi="Calibri" w:cs="Calibri"/>
        </w:rPr>
        <w:t xml:space="preserve"> van clustermunitie (of andere verboden activiteiten</w:t>
      </w:r>
      <w:r w:rsidR="0099500A">
        <w:rPr>
          <w:rFonts w:ascii="Calibri" w:eastAsia="Calibri" w:hAnsi="Calibri" w:cs="Calibri"/>
        </w:rPr>
        <w:t xml:space="preserve"> ondernemen</w:t>
      </w:r>
      <w:r>
        <w:rPr>
          <w:rFonts w:ascii="Calibri" w:eastAsia="Calibri" w:hAnsi="Calibri" w:cs="Calibri"/>
        </w:rPr>
        <w:t>) om zich tot het uiterste in te spannen om die staat ervan te weerhouden om clustermunitie te gebruiken</w:t>
      </w:r>
      <w:r w:rsidR="0099500A">
        <w:rPr>
          <w:rFonts w:ascii="Calibri" w:eastAsia="Calibri" w:hAnsi="Calibri" w:cs="Calibri"/>
        </w:rPr>
        <w:t xml:space="preserve"> (of verboden handelingen te verrichten)</w:t>
      </w:r>
      <w:r>
        <w:rPr>
          <w:rFonts w:ascii="Calibri" w:eastAsia="Calibri" w:hAnsi="Calibri" w:cs="Calibri"/>
        </w:rPr>
        <w:t xml:space="preserve">.    </w:t>
      </w:r>
    </w:p>
    <w:p w14:paraId="6652AE36" w14:textId="04E7E3F9" w:rsidR="00B607F3" w:rsidRDefault="00B607F3" w:rsidP="00724FEF">
      <w:pPr>
        <w:jc w:val="both"/>
        <w:rPr>
          <w:rFonts w:ascii="Calibri" w:eastAsia="Calibri" w:hAnsi="Calibri" w:cs="Calibri"/>
        </w:rPr>
      </w:pPr>
      <w:r>
        <w:rPr>
          <w:rFonts w:ascii="Calibri" w:eastAsia="Calibri" w:hAnsi="Calibri" w:cs="Calibri"/>
        </w:rPr>
        <w:t xml:space="preserve">Van belang voor het bepalen van de reikwijdte van de inspanningsverplichting is de formulering van artikel 21 in het Engels </w:t>
      </w:r>
      <w:r w:rsidR="00105728">
        <w:rPr>
          <w:rFonts w:ascii="Calibri" w:eastAsia="Calibri" w:hAnsi="Calibri" w:cs="Calibri"/>
        </w:rPr>
        <w:t xml:space="preserve">die </w:t>
      </w:r>
      <w:r>
        <w:rPr>
          <w:rFonts w:ascii="Calibri" w:eastAsia="Calibri" w:hAnsi="Calibri" w:cs="Calibri"/>
        </w:rPr>
        <w:t xml:space="preserve">minder hard luidt dan de Nederlandse vertaling: </w:t>
      </w:r>
    </w:p>
    <w:p w14:paraId="0CF23FE3" w14:textId="77777777" w:rsidR="00B607F3" w:rsidRPr="0007005C" w:rsidRDefault="00B607F3" w:rsidP="00724FEF">
      <w:pPr>
        <w:ind w:firstLine="708"/>
        <w:jc w:val="both"/>
        <w:rPr>
          <w:rFonts w:ascii="Calibri" w:eastAsia="Calibri" w:hAnsi="Calibri" w:cs="Calibri"/>
          <w:lang w:val="en-US"/>
        </w:rPr>
      </w:pPr>
      <w:r w:rsidRPr="0007005C">
        <w:rPr>
          <w:rFonts w:ascii="Calibri" w:eastAsia="Calibri" w:hAnsi="Calibri" w:cs="Calibri"/>
          <w:lang w:val="en-US"/>
        </w:rPr>
        <w:t>“shall make its best efforts to discourage”</w:t>
      </w:r>
    </w:p>
    <w:p w14:paraId="44899B04" w14:textId="1AAA966A" w:rsidR="00B607F3" w:rsidRDefault="00B607F3" w:rsidP="00724FEF">
      <w:pPr>
        <w:jc w:val="both"/>
        <w:rPr>
          <w:rFonts w:ascii="Calibri" w:eastAsia="Calibri" w:hAnsi="Calibri" w:cs="Calibri"/>
        </w:rPr>
      </w:pPr>
      <w:r>
        <w:rPr>
          <w:rFonts w:ascii="Calibri" w:eastAsia="Calibri" w:hAnsi="Calibri" w:cs="Calibri"/>
        </w:rPr>
        <w:t xml:space="preserve">De woorden ‘tot het uiterste’ en ‘weerhouden van’ hebben </w:t>
      </w:r>
      <w:r w:rsidR="00D87DFA">
        <w:rPr>
          <w:rFonts w:ascii="Calibri" w:eastAsia="Calibri" w:hAnsi="Calibri" w:cs="Calibri"/>
        </w:rPr>
        <w:t>mogelijk een</w:t>
      </w:r>
      <w:r>
        <w:rPr>
          <w:rFonts w:ascii="Calibri" w:eastAsia="Calibri" w:hAnsi="Calibri" w:cs="Calibri"/>
        </w:rPr>
        <w:t xml:space="preserve"> dwingendere lading</w:t>
      </w:r>
      <w:r w:rsidR="00D87DFA">
        <w:rPr>
          <w:rFonts w:ascii="Calibri" w:eastAsia="Calibri" w:hAnsi="Calibri" w:cs="Calibri"/>
        </w:rPr>
        <w:t xml:space="preserve"> dan de authentieke versie voorschrijft.</w:t>
      </w:r>
      <w:r>
        <w:rPr>
          <w:rFonts w:ascii="Calibri" w:eastAsia="Calibri" w:hAnsi="Calibri" w:cs="Calibri"/>
        </w:rPr>
        <w:t xml:space="preserve">  </w:t>
      </w:r>
    </w:p>
    <w:p w14:paraId="3C6A68BA" w14:textId="54F742EA" w:rsidR="005920DD" w:rsidRPr="00494E8D" w:rsidRDefault="005920DD" w:rsidP="00724FEF">
      <w:pPr>
        <w:jc w:val="both"/>
        <w:rPr>
          <w:rFonts w:ascii="Calibri" w:eastAsia="Calibri" w:hAnsi="Calibri" w:cs="Calibri"/>
        </w:rPr>
      </w:pPr>
      <w:r w:rsidRPr="00494E8D">
        <w:rPr>
          <w:rFonts w:ascii="Calibri" w:eastAsia="Calibri" w:hAnsi="Calibri" w:cs="Calibri"/>
        </w:rPr>
        <w:lastRenderedPageBreak/>
        <w:t>Met betrekking tot de specifieke verplichtingen onder art</w:t>
      </w:r>
      <w:r>
        <w:rPr>
          <w:rFonts w:ascii="Calibri" w:eastAsia="Calibri" w:hAnsi="Calibri" w:cs="Calibri"/>
        </w:rPr>
        <w:t>ikel</w:t>
      </w:r>
      <w:r w:rsidRPr="00494E8D">
        <w:rPr>
          <w:rFonts w:ascii="Calibri" w:eastAsia="Calibri" w:hAnsi="Calibri" w:cs="Calibri"/>
        </w:rPr>
        <w:t xml:space="preserve"> 21 lid 2 </w:t>
      </w:r>
      <w:r>
        <w:rPr>
          <w:rFonts w:ascii="Calibri" w:eastAsia="Calibri" w:hAnsi="Calibri" w:cs="Calibri"/>
        </w:rPr>
        <w:t xml:space="preserve">om te </w:t>
      </w:r>
      <w:r w:rsidRPr="000A1968">
        <w:rPr>
          <w:rFonts w:ascii="Calibri" w:eastAsia="Calibri" w:hAnsi="Calibri" w:cs="Calibri"/>
          <w:u w:val="single"/>
        </w:rPr>
        <w:t>informeren over</w:t>
      </w:r>
      <w:r>
        <w:rPr>
          <w:rFonts w:ascii="Calibri" w:eastAsia="Calibri" w:hAnsi="Calibri" w:cs="Calibri"/>
        </w:rPr>
        <w:t xml:space="preserve"> de verplichtingen uit de CCM en de daarin opgenomen normen te bevorderen </w:t>
      </w:r>
      <w:r w:rsidRPr="00494E8D">
        <w:rPr>
          <w:rFonts w:ascii="Calibri" w:eastAsia="Calibri" w:hAnsi="Calibri" w:cs="Calibri"/>
        </w:rPr>
        <w:t xml:space="preserve">schrijft </w:t>
      </w:r>
      <w:proofErr w:type="spellStart"/>
      <w:r w:rsidRPr="00494E8D">
        <w:rPr>
          <w:rFonts w:ascii="Calibri" w:eastAsia="Calibri" w:hAnsi="Calibri" w:cs="Calibri"/>
        </w:rPr>
        <w:t>Casey-Maslen</w:t>
      </w:r>
      <w:proofErr w:type="spellEnd"/>
      <w:r w:rsidRPr="00494E8D">
        <w:rPr>
          <w:rFonts w:ascii="Calibri" w:eastAsia="Calibri" w:hAnsi="Calibri" w:cs="Calibri"/>
        </w:rPr>
        <w:t xml:space="preserve"> allereerst:</w:t>
      </w:r>
    </w:p>
    <w:p w14:paraId="5940824F" w14:textId="4DC60AE5" w:rsidR="005920DD" w:rsidRPr="00E11087" w:rsidRDefault="005920DD" w:rsidP="00724FEF">
      <w:pPr>
        <w:ind w:left="708"/>
        <w:jc w:val="both"/>
        <w:rPr>
          <w:rFonts w:ascii="Calibri" w:eastAsia="Calibri" w:hAnsi="Calibri" w:cs="Calibri"/>
          <w:lang w:val="en-US"/>
        </w:rPr>
      </w:pPr>
      <w:r w:rsidRPr="00E11087">
        <w:rPr>
          <w:rFonts w:ascii="Calibri" w:eastAsia="Calibri" w:hAnsi="Calibri" w:cs="Calibri"/>
          <w:lang w:val="en-US"/>
        </w:rPr>
        <w:t>“States Parties are obliged to notify the governments of States not party to the Convention with which they are engaged in military cooperation or operations about their obligations under the Convention.”</w:t>
      </w:r>
      <w:r w:rsidRPr="00E11087">
        <w:rPr>
          <w:rStyle w:val="Voetnootmarkering"/>
          <w:rFonts w:ascii="Calibri" w:eastAsia="Calibri" w:hAnsi="Calibri" w:cs="Calibri"/>
        </w:rPr>
        <w:footnoteReference w:id="59"/>
      </w:r>
    </w:p>
    <w:p w14:paraId="1AD3F7A7" w14:textId="007D2BDD" w:rsidR="005920DD" w:rsidRPr="0007005C" w:rsidRDefault="005920DD" w:rsidP="00724FEF">
      <w:pPr>
        <w:jc w:val="both"/>
        <w:rPr>
          <w:rFonts w:ascii="Calibri" w:eastAsia="Calibri" w:hAnsi="Calibri" w:cs="Calibri"/>
          <w:lang w:val="en-US"/>
        </w:rPr>
      </w:pPr>
      <w:r>
        <w:rPr>
          <w:rFonts w:ascii="Calibri" w:eastAsia="Calibri" w:hAnsi="Calibri" w:cs="Calibri"/>
        </w:rPr>
        <w:t xml:space="preserve">Deze verplichtingen staan dus </w:t>
      </w:r>
      <w:r w:rsidR="002F33C1">
        <w:rPr>
          <w:rFonts w:ascii="Calibri" w:eastAsia="Calibri" w:hAnsi="Calibri" w:cs="Calibri"/>
        </w:rPr>
        <w:t xml:space="preserve">naast </w:t>
      </w:r>
      <w:r>
        <w:rPr>
          <w:rFonts w:ascii="Calibri" w:eastAsia="Calibri" w:hAnsi="Calibri" w:cs="Calibri"/>
        </w:rPr>
        <w:t xml:space="preserve">de inspanningsverplichting tot het weerhouden van het gebruik van clustermunitie. </w:t>
      </w:r>
      <w:r w:rsidR="0056329D">
        <w:rPr>
          <w:rFonts w:ascii="Calibri" w:eastAsia="Calibri" w:hAnsi="Calibri" w:cs="Calibri"/>
        </w:rPr>
        <w:t xml:space="preserve">Ze zijn </w:t>
      </w:r>
      <w:r>
        <w:rPr>
          <w:rFonts w:ascii="Calibri" w:eastAsia="Calibri" w:hAnsi="Calibri" w:cs="Calibri"/>
        </w:rPr>
        <w:t>er uiteraard wel relevant voor</w:t>
      </w:r>
      <w:r w:rsidR="0056329D">
        <w:rPr>
          <w:rFonts w:ascii="Calibri" w:eastAsia="Calibri" w:hAnsi="Calibri" w:cs="Calibri"/>
        </w:rPr>
        <w:t>,</w:t>
      </w:r>
      <w:r>
        <w:rPr>
          <w:rFonts w:ascii="Calibri" w:eastAsia="Calibri" w:hAnsi="Calibri" w:cs="Calibri"/>
        </w:rPr>
        <w:t xml:space="preserve"> omdat bij het niet naleven daarvan ook moeilijk volgehouden kan worden dat de Staat zich tot het uiterste heeft ingespannen.</w:t>
      </w:r>
      <w:r w:rsidR="009B5F15">
        <w:rPr>
          <w:rFonts w:ascii="Calibri" w:eastAsia="Calibri" w:hAnsi="Calibri" w:cs="Calibri"/>
        </w:rPr>
        <w:t xml:space="preserve"> </w:t>
      </w:r>
      <w:proofErr w:type="spellStart"/>
      <w:r w:rsidRPr="0007005C">
        <w:rPr>
          <w:rFonts w:ascii="Calibri" w:eastAsia="Calibri" w:hAnsi="Calibri" w:cs="Calibri"/>
          <w:lang w:val="en-US"/>
        </w:rPr>
        <w:t>Daarover</w:t>
      </w:r>
      <w:proofErr w:type="spellEnd"/>
      <w:r w:rsidRPr="0007005C">
        <w:rPr>
          <w:rFonts w:ascii="Calibri" w:eastAsia="Calibri" w:hAnsi="Calibri" w:cs="Calibri"/>
          <w:lang w:val="en-US"/>
        </w:rPr>
        <w:t xml:space="preserve"> </w:t>
      </w:r>
      <w:proofErr w:type="spellStart"/>
      <w:r w:rsidRPr="0007005C">
        <w:rPr>
          <w:rFonts w:ascii="Calibri" w:eastAsia="Calibri" w:hAnsi="Calibri" w:cs="Calibri"/>
          <w:lang w:val="en-US"/>
        </w:rPr>
        <w:t>schrijft</w:t>
      </w:r>
      <w:proofErr w:type="spellEnd"/>
      <w:r w:rsidRPr="0007005C">
        <w:rPr>
          <w:rFonts w:ascii="Calibri" w:eastAsia="Calibri" w:hAnsi="Calibri" w:cs="Calibri"/>
          <w:lang w:val="en-US"/>
        </w:rPr>
        <w:t xml:space="preserve"> Casey-Maslen:</w:t>
      </w:r>
    </w:p>
    <w:p w14:paraId="50D08B2C" w14:textId="77777777" w:rsidR="005920DD" w:rsidRPr="0007005C" w:rsidRDefault="005920DD" w:rsidP="00724FEF">
      <w:pPr>
        <w:ind w:left="708"/>
        <w:jc w:val="both"/>
        <w:rPr>
          <w:rFonts w:ascii="Calibri" w:eastAsia="Calibri" w:hAnsi="Calibri" w:cs="Calibri"/>
          <w:lang w:val="en-US"/>
        </w:rPr>
      </w:pPr>
      <w:r w:rsidRPr="0007005C">
        <w:rPr>
          <w:rFonts w:ascii="Calibri" w:eastAsia="Calibri" w:hAnsi="Calibri" w:cs="Calibri"/>
          <w:lang w:val="en-US"/>
        </w:rPr>
        <w:t xml:space="preserve">“In situations of interoperability, this provision must be understood to impose an obligation on States Parties in all relevant relations with States not party to the </w:t>
      </w:r>
      <w:r w:rsidRPr="0007005C">
        <w:rPr>
          <w:rFonts w:ascii="Calibri" w:eastAsia="Calibri" w:hAnsi="Calibri" w:cs="Calibri"/>
          <w:u w:val="single"/>
          <w:lang w:val="en-US"/>
        </w:rPr>
        <w:t>Convention actively to promote the norms the Convention establishes</w:t>
      </w:r>
      <w:r w:rsidRPr="0007005C">
        <w:rPr>
          <w:rFonts w:ascii="Calibri" w:eastAsia="Calibri" w:hAnsi="Calibri" w:cs="Calibri"/>
          <w:lang w:val="en-US"/>
        </w:rPr>
        <w:t xml:space="preserve">. In order to be effective in situations of military cooperation and operations, the obligation to promote the norms of the Conventions must apply to agents of States Parties </w:t>
      </w:r>
      <w:r w:rsidRPr="0007005C">
        <w:rPr>
          <w:rFonts w:ascii="Calibri" w:eastAsia="Calibri" w:hAnsi="Calibri" w:cs="Calibri"/>
          <w:u w:val="single"/>
          <w:lang w:val="en-US"/>
        </w:rPr>
        <w:t>at all levels,</w:t>
      </w:r>
      <w:r w:rsidRPr="0007005C">
        <w:rPr>
          <w:rFonts w:ascii="Calibri" w:eastAsia="Calibri" w:hAnsi="Calibri" w:cs="Calibri"/>
          <w:lang w:val="en-US"/>
        </w:rPr>
        <w:t xml:space="preserve"> and in particular at the appropriate military level.”</w:t>
      </w:r>
      <w:r w:rsidRPr="00494E8D">
        <w:rPr>
          <w:rStyle w:val="Voetnootmarkering"/>
          <w:rFonts w:ascii="Calibri" w:eastAsia="Calibri" w:hAnsi="Calibri" w:cs="Calibri"/>
        </w:rPr>
        <w:footnoteReference w:id="60"/>
      </w:r>
    </w:p>
    <w:p w14:paraId="6B77F817" w14:textId="69855830" w:rsidR="005920DD" w:rsidRPr="00494E8D" w:rsidRDefault="005920DD" w:rsidP="00724FEF">
      <w:pPr>
        <w:jc w:val="both"/>
        <w:rPr>
          <w:rFonts w:ascii="Calibri" w:eastAsia="Calibri" w:hAnsi="Calibri" w:cs="Calibri"/>
        </w:rPr>
      </w:pPr>
      <w:r w:rsidRPr="00494E8D">
        <w:rPr>
          <w:rFonts w:ascii="Calibri" w:eastAsia="Calibri" w:hAnsi="Calibri" w:cs="Calibri"/>
        </w:rPr>
        <w:t xml:space="preserve">Met betrekking tot de </w:t>
      </w:r>
      <w:r>
        <w:rPr>
          <w:rFonts w:ascii="Calibri" w:eastAsia="Calibri" w:hAnsi="Calibri" w:cs="Calibri"/>
        </w:rPr>
        <w:t>inspannings</w:t>
      </w:r>
      <w:r w:rsidRPr="00494E8D">
        <w:rPr>
          <w:rFonts w:ascii="Calibri" w:eastAsia="Calibri" w:hAnsi="Calibri" w:cs="Calibri"/>
        </w:rPr>
        <w:t xml:space="preserve">verplichting </w:t>
      </w:r>
      <w:r w:rsidR="00482D68">
        <w:rPr>
          <w:rFonts w:ascii="Calibri" w:eastAsia="Calibri" w:hAnsi="Calibri" w:cs="Calibri"/>
        </w:rPr>
        <w:t>om zich tot het uiterste in te spannen om een niet</w:t>
      </w:r>
      <w:r w:rsidR="00F56D9B">
        <w:rPr>
          <w:rFonts w:ascii="Calibri" w:eastAsia="Calibri" w:hAnsi="Calibri" w:cs="Calibri"/>
        </w:rPr>
        <w:t>-</w:t>
      </w:r>
      <w:r w:rsidR="00482D68">
        <w:rPr>
          <w:rFonts w:ascii="Calibri" w:eastAsia="Calibri" w:hAnsi="Calibri" w:cs="Calibri"/>
        </w:rPr>
        <w:t xml:space="preserve"> verdragsstaat te weerhouden van het gebruik van clustermunitie</w:t>
      </w:r>
      <w:r w:rsidR="003502A3">
        <w:rPr>
          <w:rFonts w:ascii="Calibri" w:eastAsia="Calibri" w:hAnsi="Calibri" w:cs="Calibri"/>
        </w:rPr>
        <w:t xml:space="preserve">, bepaalt </w:t>
      </w:r>
      <w:r w:rsidR="00482D68">
        <w:rPr>
          <w:rFonts w:ascii="Calibri" w:eastAsia="Calibri" w:hAnsi="Calibri" w:cs="Calibri"/>
        </w:rPr>
        <w:t xml:space="preserve">het commentaar dat verwacht mag worden dat </w:t>
      </w:r>
      <w:r w:rsidR="00554DA2">
        <w:rPr>
          <w:rFonts w:ascii="Calibri" w:eastAsia="Calibri" w:hAnsi="Calibri" w:cs="Calibri"/>
        </w:rPr>
        <w:t>verzocht wordt om clustermunitie niet te gebruiken</w:t>
      </w:r>
      <w:r w:rsidRPr="00494E8D">
        <w:rPr>
          <w:rFonts w:ascii="Calibri" w:eastAsia="Calibri" w:hAnsi="Calibri" w:cs="Calibri"/>
        </w:rPr>
        <w:t>:</w:t>
      </w:r>
    </w:p>
    <w:p w14:paraId="747573C7" w14:textId="60CD7211" w:rsidR="005920DD" w:rsidRPr="0007005C" w:rsidRDefault="005920DD" w:rsidP="00724FEF">
      <w:pPr>
        <w:ind w:left="708"/>
        <w:jc w:val="both"/>
        <w:rPr>
          <w:rFonts w:ascii="Calibri" w:eastAsia="Calibri" w:hAnsi="Calibri" w:cs="Calibri"/>
          <w:lang w:val="en-US"/>
        </w:rPr>
      </w:pPr>
      <w:r w:rsidRPr="0007005C">
        <w:rPr>
          <w:rFonts w:ascii="Calibri" w:eastAsia="Calibri" w:hAnsi="Calibri" w:cs="Calibri"/>
          <w:lang w:val="en-US"/>
        </w:rPr>
        <w:t xml:space="preserve">“Finally, paragraph 2 imposes an obligation on States Parties to make their best efforts to discourage States not party from using cluster munitions. </w:t>
      </w:r>
      <w:r w:rsidR="00A06989">
        <w:rPr>
          <w:rFonts w:ascii="Calibri" w:eastAsia="Calibri" w:hAnsi="Calibri" w:cs="Calibri"/>
          <w:lang w:val="en-US"/>
        </w:rPr>
        <w:t>[</w:t>
      </w:r>
      <w:r w:rsidRPr="0007005C">
        <w:rPr>
          <w:rFonts w:ascii="Calibri" w:eastAsia="Calibri" w:hAnsi="Calibri" w:cs="Calibri"/>
          <w:lang w:val="en-US"/>
        </w:rPr>
        <w:t>...</w:t>
      </w:r>
      <w:r w:rsidR="00A06989">
        <w:rPr>
          <w:rFonts w:ascii="Calibri" w:eastAsia="Calibri" w:hAnsi="Calibri" w:cs="Calibri"/>
          <w:lang w:val="en-US"/>
        </w:rPr>
        <w:t>]</w:t>
      </w:r>
      <w:r w:rsidRPr="0007005C">
        <w:rPr>
          <w:rFonts w:ascii="Calibri" w:eastAsia="Calibri" w:hAnsi="Calibri" w:cs="Calibri"/>
          <w:lang w:val="en-US"/>
        </w:rPr>
        <w:t xml:space="preserve"> The obligation to discourage use is </w:t>
      </w:r>
      <w:r w:rsidR="00A06989">
        <w:rPr>
          <w:rFonts w:ascii="Calibri" w:eastAsia="Calibri" w:hAnsi="Calibri" w:cs="Calibri"/>
          <w:lang w:val="en-US"/>
        </w:rPr>
        <w:t>[</w:t>
      </w:r>
      <w:r w:rsidRPr="0007005C">
        <w:rPr>
          <w:rFonts w:ascii="Calibri" w:eastAsia="Calibri" w:hAnsi="Calibri" w:cs="Calibri"/>
          <w:lang w:val="en-US"/>
        </w:rPr>
        <w:t>...</w:t>
      </w:r>
      <w:r w:rsidR="00A06989">
        <w:rPr>
          <w:rFonts w:ascii="Calibri" w:eastAsia="Calibri" w:hAnsi="Calibri" w:cs="Calibri"/>
          <w:lang w:val="en-US"/>
        </w:rPr>
        <w:t>]</w:t>
      </w:r>
      <w:r w:rsidRPr="0007005C">
        <w:rPr>
          <w:rFonts w:ascii="Calibri" w:eastAsia="Calibri" w:hAnsi="Calibri" w:cs="Calibri"/>
          <w:lang w:val="en-US"/>
        </w:rPr>
        <w:t xml:space="preserve"> general and not limited to situations of interoperability.</w:t>
      </w:r>
      <w:r w:rsidRPr="0007005C">
        <w:rPr>
          <w:rFonts w:ascii="Calibri" w:eastAsia="Calibri" w:hAnsi="Calibri" w:cs="Calibri"/>
          <w:u w:val="single"/>
          <w:lang w:val="en-US"/>
        </w:rPr>
        <w:t xml:space="preserve"> In the event of an armed conflict or other situation that could trigger the use of military force, States Parties would be expected to promote the humanitarian norms of the Convention and </w:t>
      </w:r>
      <w:r w:rsidRPr="0007005C">
        <w:rPr>
          <w:rFonts w:ascii="Calibri" w:eastAsia="Calibri" w:hAnsi="Calibri" w:cs="Calibri"/>
          <w:b/>
          <w:bCs/>
          <w:u w:val="single"/>
          <w:lang w:val="en-US"/>
        </w:rPr>
        <w:t>request that cluster munitions not be used</w:t>
      </w:r>
      <w:r w:rsidRPr="0007005C">
        <w:rPr>
          <w:rFonts w:ascii="Calibri" w:eastAsia="Calibri" w:hAnsi="Calibri" w:cs="Calibri"/>
          <w:u w:val="single"/>
          <w:lang w:val="en-US"/>
        </w:rPr>
        <w:t>.</w:t>
      </w:r>
      <w:r w:rsidRPr="0007005C">
        <w:rPr>
          <w:rFonts w:ascii="Calibri" w:eastAsia="Calibri" w:hAnsi="Calibri" w:cs="Calibri"/>
          <w:lang w:val="en-US"/>
        </w:rPr>
        <w:t>”</w:t>
      </w:r>
      <w:r w:rsidRPr="00BE10A8">
        <w:rPr>
          <w:rStyle w:val="Voetnootmarkering"/>
          <w:rFonts w:ascii="Calibri" w:eastAsia="Calibri" w:hAnsi="Calibri" w:cs="Calibri"/>
        </w:rPr>
        <w:footnoteReference w:id="61"/>
      </w:r>
    </w:p>
    <w:p w14:paraId="538947E0" w14:textId="35D5077F" w:rsidR="00A73EA0" w:rsidRPr="00C92AF8" w:rsidRDefault="00481AF6" w:rsidP="00724FEF">
      <w:pPr>
        <w:jc w:val="both"/>
        <w:rPr>
          <w:rFonts w:ascii="Calibri" w:eastAsia="Calibri" w:hAnsi="Calibri" w:cs="Calibri"/>
        </w:rPr>
      </w:pPr>
      <w:r>
        <w:rPr>
          <w:rFonts w:ascii="Calibri" w:eastAsia="Calibri" w:hAnsi="Calibri" w:cs="Calibri"/>
        </w:rPr>
        <w:t xml:space="preserve">Over de reikwijdte van de </w:t>
      </w:r>
      <w:r w:rsidR="00276A29">
        <w:rPr>
          <w:rFonts w:ascii="Calibri" w:eastAsia="Calibri" w:hAnsi="Calibri" w:cs="Calibri"/>
        </w:rPr>
        <w:t>inspanningsverplichting</w:t>
      </w:r>
      <w:r>
        <w:rPr>
          <w:rFonts w:ascii="Calibri" w:eastAsia="Calibri" w:hAnsi="Calibri" w:cs="Calibri"/>
        </w:rPr>
        <w:t xml:space="preserve"> </w:t>
      </w:r>
      <w:r w:rsidRPr="00C92AF8">
        <w:rPr>
          <w:rFonts w:ascii="Calibri" w:eastAsia="Calibri" w:hAnsi="Calibri" w:cs="Calibri"/>
        </w:rPr>
        <w:t>overweegt</w:t>
      </w:r>
      <w:r w:rsidR="00276A29">
        <w:rPr>
          <w:rFonts w:ascii="Calibri" w:eastAsia="Calibri" w:hAnsi="Calibri" w:cs="Calibri"/>
        </w:rPr>
        <w:t xml:space="preserve"> </w:t>
      </w:r>
      <w:proofErr w:type="spellStart"/>
      <w:r w:rsidRPr="00C92AF8">
        <w:rPr>
          <w:rFonts w:ascii="Calibri" w:eastAsia="Calibri" w:hAnsi="Calibri" w:cs="Calibri"/>
        </w:rPr>
        <w:t>Casey-Maslen</w:t>
      </w:r>
      <w:proofErr w:type="spellEnd"/>
      <w:r w:rsidRPr="00C92AF8">
        <w:rPr>
          <w:rFonts w:ascii="Calibri" w:eastAsia="Calibri" w:hAnsi="Calibri" w:cs="Calibri"/>
        </w:rPr>
        <w:t xml:space="preserve"> </w:t>
      </w:r>
      <w:r w:rsidR="001C19E8" w:rsidRPr="00C92AF8">
        <w:rPr>
          <w:rFonts w:ascii="Calibri" w:eastAsia="Calibri" w:hAnsi="Calibri" w:cs="Calibri"/>
        </w:rPr>
        <w:t xml:space="preserve">ter illustratie </w:t>
      </w:r>
      <w:r w:rsidRPr="00C92AF8">
        <w:rPr>
          <w:rFonts w:ascii="Calibri" w:eastAsia="Calibri" w:hAnsi="Calibri" w:cs="Calibri"/>
        </w:rPr>
        <w:t>da</w:t>
      </w:r>
      <w:r w:rsidR="001C19E8" w:rsidRPr="00C92AF8">
        <w:rPr>
          <w:rFonts w:ascii="Calibri" w:eastAsia="Calibri" w:hAnsi="Calibri" w:cs="Calibri"/>
        </w:rPr>
        <w:t xml:space="preserve">t </w:t>
      </w:r>
      <w:r w:rsidR="00F11F6A" w:rsidRPr="00C92AF8">
        <w:rPr>
          <w:rFonts w:ascii="Calibri" w:eastAsia="Calibri" w:hAnsi="Calibri" w:cs="Calibri"/>
        </w:rPr>
        <w:t>als bij</w:t>
      </w:r>
      <w:r w:rsidR="00BE7C53">
        <w:rPr>
          <w:rFonts w:ascii="Calibri" w:eastAsia="Calibri" w:hAnsi="Calibri" w:cs="Calibri"/>
        </w:rPr>
        <w:t xml:space="preserve"> </w:t>
      </w:r>
      <w:r w:rsidR="001C19E8">
        <w:rPr>
          <w:rFonts w:ascii="Calibri" w:eastAsia="Calibri" w:hAnsi="Calibri" w:cs="Calibri"/>
        </w:rPr>
        <w:t xml:space="preserve">een </w:t>
      </w:r>
      <w:r w:rsidR="00BE7C53">
        <w:rPr>
          <w:rFonts w:ascii="Calibri" w:eastAsia="Calibri" w:hAnsi="Calibri" w:cs="Calibri"/>
        </w:rPr>
        <w:t>gezamenlijke militaire operatie</w:t>
      </w:r>
      <w:r w:rsidR="001C19E8">
        <w:rPr>
          <w:rFonts w:ascii="Calibri" w:eastAsia="Calibri" w:hAnsi="Calibri" w:cs="Calibri"/>
        </w:rPr>
        <w:t xml:space="preserve"> </w:t>
      </w:r>
      <w:r w:rsidR="00A73EA0">
        <w:rPr>
          <w:rFonts w:ascii="Calibri" w:eastAsia="Calibri" w:hAnsi="Calibri" w:cs="Calibri"/>
        </w:rPr>
        <w:t xml:space="preserve">een verdragsstaat het toestaat dat andere </w:t>
      </w:r>
      <w:r w:rsidR="00D8110C">
        <w:rPr>
          <w:rFonts w:ascii="Calibri" w:eastAsia="Calibri" w:hAnsi="Calibri" w:cs="Calibri"/>
        </w:rPr>
        <w:t>staten</w:t>
      </w:r>
      <w:r w:rsidR="00A73EA0">
        <w:rPr>
          <w:rFonts w:ascii="Calibri" w:eastAsia="Calibri" w:hAnsi="Calibri" w:cs="Calibri"/>
        </w:rPr>
        <w:t xml:space="preserve"> in hun Rules of En</w:t>
      </w:r>
      <w:r w:rsidR="00D8110C">
        <w:rPr>
          <w:rFonts w:ascii="Calibri" w:eastAsia="Calibri" w:hAnsi="Calibri" w:cs="Calibri"/>
        </w:rPr>
        <w:t>ga</w:t>
      </w:r>
      <w:r w:rsidR="00A73EA0">
        <w:rPr>
          <w:rFonts w:ascii="Calibri" w:eastAsia="Calibri" w:hAnsi="Calibri" w:cs="Calibri"/>
        </w:rPr>
        <w:t>gement het gebruik van clustermunitie toestaan</w:t>
      </w:r>
      <w:r w:rsidR="001C19E8">
        <w:rPr>
          <w:rFonts w:ascii="Calibri" w:eastAsia="Calibri" w:hAnsi="Calibri" w:cs="Calibri"/>
        </w:rPr>
        <w:t xml:space="preserve"> </w:t>
      </w:r>
      <w:r w:rsidR="00F11F6A">
        <w:rPr>
          <w:rFonts w:ascii="Calibri" w:eastAsia="Calibri" w:hAnsi="Calibri" w:cs="Calibri"/>
        </w:rPr>
        <w:t xml:space="preserve">dit </w:t>
      </w:r>
      <w:r w:rsidR="001C19E8">
        <w:rPr>
          <w:rFonts w:ascii="Calibri" w:eastAsia="Calibri" w:hAnsi="Calibri" w:cs="Calibri"/>
        </w:rPr>
        <w:t>zich slecht verhoudt tot de inspanningsverplichting om andere staten te weerhouden van het gebruik</w:t>
      </w:r>
      <w:r w:rsidR="00A73EA0" w:rsidRPr="00C92AF8">
        <w:rPr>
          <w:rFonts w:ascii="Calibri" w:eastAsia="Calibri" w:hAnsi="Calibri" w:cs="Calibri"/>
        </w:rPr>
        <w:t>:</w:t>
      </w:r>
    </w:p>
    <w:p w14:paraId="1DB77384" w14:textId="5E252F02" w:rsidR="00154994" w:rsidRPr="0007005C" w:rsidRDefault="00945055" w:rsidP="00724FEF">
      <w:pPr>
        <w:ind w:left="708"/>
        <w:jc w:val="both"/>
        <w:rPr>
          <w:rFonts w:ascii="Calibri" w:eastAsia="Calibri" w:hAnsi="Calibri" w:cs="Calibri"/>
          <w:lang w:val="en-US"/>
        </w:rPr>
      </w:pPr>
      <w:r w:rsidRPr="00C92AF8">
        <w:rPr>
          <w:rFonts w:ascii="Calibri" w:eastAsia="Calibri" w:hAnsi="Calibri" w:cs="Calibri"/>
        </w:rPr>
        <w:t xml:space="preserve"> </w:t>
      </w:r>
      <w:r w:rsidRPr="0007005C">
        <w:rPr>
          <w:rFonts w:ascii="Calibri" w:eastAsia="Calibri" w:hAnsi="Calibri" w:cs="Calibri"/>
          <w:lang w:val="en-US"/>
        </w:rPr>
        <w:t>“it may be questioned whether the obligation to make their best efforts to discourage the use of cluster munitions can be interpreted as compatible with a State Party’s subsequent participation in developing or deciding on ROE expressly permitting such use”.</w:t>
      </w:r>
      <w:r w:rsidRPr="0007005C">
        <w:rPr>
          <w:rStyle w:val="Voetnootmarkering"/>
          <w:rFonts w:ascii="Calibri" w:eastAsia="Calibri" w:hAnsi="Calibri" w:cs="Calibri"/>
          <w:lang w:val="en-US"/>
        </w:rPr>
        <w:t xml:space="preserve"> </w:t>
      </w:r>
      <w:r w:rsidRPr="00BE10A8">
        <w:rPr>
          <w:rStyle w:val="Voetnootmarkering"/>
          <w:rFonts w:ascii="Calibri" w:eastAsia="Calibri" w:hAnsi="Calibri" w:cs="Calibri"/>
        </w:rPr>
        <w:footnoteReference w:id="62"/>
      </w:r>
      <w:r w:rsidRPr="0007005C">
        <w:rPr>
          <w:rFonts w:ascii="Calibri" w:eastAsia="Calibri" w:hAnsi="Calibri" w:cs="Calibri"/>
          <w:lang w:val="en-US"/>
        </w:rPr>
        <w:t xml:space="preserve"> </w:t>
      </w:r>
    </w:p>
    <w:p w14:paraId="1A0E31D7" w14:textId="7ACC7816" w:rsidR="002516CC" w:rsidRDefault="00D8657E" w:rsidP="00724FEF">
      <w:pPr>
        <w:jc w:val="both"/>
        <w:rPr>
          <w:rFonts w:ascii="Calibri" w:eastAsia="Calibri" w:hAnsi="Calibri" w:cs="Calibri"/>
        </w:rPr>
      </w:pPr>
      <w:r>
        <w:rPr>
          <w:rFonts w:ascii="Calibri" w:eastAsia="Calibri" w:hAnsi="Calibri" w:cs="Calibri"/>
        </w:rPr>
        <w:t>Hieruit volgt dat het er toe doe</w:t>
      </w:r>
      <w:r w:rsidR="00A93CA8">
        <w:rPr>
          <w:rFonts w:ascii="Calibri" w:eastAsia="Calibri" w:hAnsi="Calibri" w:cs="Calibri"/>
        </w:rPr>
        <w:t>t</w:t>
      </w:r>
      <w:r>
        <w:rPr>
          <w:rFonts w:ascii="Calibri" w:eastAsia="Calibri" w:hAnsi="Calibri" w:cs="Calibri"/>
        </w:rPr>
        <w:t xml:space="preserve"> welke mate van controle de Staat heeft over het handelen dat </w:t>
      </w:r>
      <w:r w:rsidR="008C0AB5">
        <w:rPr>
          <w:rFonts w:ascii="Calibri" w:eastAsia="Calibri" w:hAnsi="Calibri" w:cs="Calibri"/>
        </w:rPr>
        <w:t xml:space="preserve">steun biedt aan het gebruik van clustermunitie. Als de Staat in dit bovengenoemde voorbeeld kan besluiten om niet </w:t>
      </w:r>
      <w:r w:rsidR="0038248C">
        <w:rPr>
          <w:rFonts w:ascii="Calibri" w:eastAsia="Calibri" w:hAnsi="Calibri" w:cs="Calibri"/>
        </w:rPr>
        <w:t>bij te dragen aan</w:t>
      </w:r>
      <w:r w:rsidR="008C0AB5">
        <w:rPr>
          <w:rFonts w:ascii="Calibri" w:eastAsia="Calibri" w:hAnsi="Calibri" w:cs="Calibri"/>
        </w:rPr>
        <w:t xml:space="preserve"> het formuleren van</w:t>
      </w:r>
      <w:r w:rsidR="000D4D11">
        <w:rPr>
          <w:rFonts w:ascii="Calibri" w:eastAsia="Calibri" w:hAnsi="Calibri" w:cs="Calibri"/>
        </w:rPr>
        <w:t xml:space="preserve"> gezamenlijke</w:t>
      </w:r>
      <w:r w:rsidR="008C0AB5">
        <w:rPr>
          <w:rFonts w:ascii="Calibri" w:eastAsia="Calibri" w:hAnsi="Calibri" w:cs="Calibri"/>
        </w:rPr>
        <w:t xml:space="preserve"> </w:t>
      </w:r>
      <w:proofErr w:type="spellStart"/>
      <w:r w:rsidR="008C0AB5">
        <w:rPr>
          <w:rFonts w:ascii="Calibri" w:eastAsia="Calibri" w:hAnsi="Calibri" w:cs="Calibri"/>
        </w:rPr>
        <w:t>RoE</w:t>
      </w:r>
      <w:proofErr w:type="spellEnd"/>
      <w:r w:rsidR="000D4D11">
        <w:rPr>
          <w:rFonts w:ascii="Calibri" w:eastAsia="Calibri" w:hAnsi="Calibri" w:cs="Calibri"/>
        </w:rPr>
        <w:t xml:space="preserve"> waarin het gebruik van clustermunitie wordt toegestaan</w:t>
      </w:r>
      <w:r w:rsidR="001065DB">
        <w:rPr>
          <w:rFonts w:ascii="Calibri" w:eastAsia="Calibri" w:hAnsi="Calibri" w:cs="Calibri"/>
        </w:rPr>
        <w:t>,</w:t>
      </w:r>
      <w:r w:rsidR="000D4D11">
        <w:rPr>
          <w:rFonts w:ascii="Calibri" w:eastAsia="Calibri" w:hAnsi="Calibri" w:cs="Calibri"/>
        </w:rPr>
        <w:t xml:space="preserve"> vraagt de inspanningsverplichting dat hij zich daarvan onthoudt. </w:t>
      </w:r>
      <w:r w:rsidR="00AC2E92">
        <w:rPr>
          <w:rFonts w:ascii="Calibri" w:eastAsia="Calibri" w:hAnsi="Calibri" w:cs="Calibri"/>
        </w:rPr>
        <w:t xml:space="preserve">Welke </w:t>
      </w:r>
      <w:proofErr w:type="spellStart"/>
      <w:r w:rsidR="00AC2E92">
        <w:rPr>
          <w:rFonts w:ascii="Calibri" w:eastAsia="Calibri" w:hAnsi="Calibri" w:cs="Calibri"/>
        </w:rPr>
        <w:t>RoE</w:t>
      </w:r>
      <w:proofErr w:type="spellEnd"/>
      <w:r w:rsidR="00AC2E92">
        <w:rPr>
          <w:rFonts w:ascii="Calibri" w:eastAsia="Calibri" w:hAnsi="Calibri" w:cs="Calibri"/>
        </w:rPr>
        <w:t xml:space="preserve"> een </w:t>
      </w:r>
      <w:r w:rsidR="00AC2E92">
        <w:rPr>
          <w:rFonts w:ascii="Calibri" w:eastAsia="Calibri" w:hAnsi="Calibri" w:cs="Calibri"/>
        </w:rPr>
        <w:lastRenderedPageBreak/>
        <w:t xml:space="preserve">ander land hanteert kan de Staat niet beslissen, maar over de </w:t>
      </w:r>
      <w:proofErr w:type="spellStart"/>
      <w:r w:rsidR="00AC2E92">
        <w:rPr>
          <w:rFonts w:ascii="Calibri" w:eastAsia="Calibri" w:hAnsi="Calibri" w:cs="Calibri"/>
        </w:rPr>
        <w:t>RoE</w:t>
      </w:r>
      <w:proofErr w:type="spellEnd"/>
      <w:r w:rsidR="00AC2E92">
        <w:rPr>
          <w:rFonts w:ascii="Calibri" w:eastAsia="Calibri" w:hAnsi="Calibri" w:cs="Calibri"/>
        </w:rPr>
        <w:t xml:space="preserve"> waaraan het gebonden is wel. </w:t>
      </w:r>
      <w:r w:rsidR="009F158C">
        <w:rPr>
          <w:rFonts w:ascii="Calibri" w:eastAsia="Calibri" w:hAnsi="Calibri" w:cs="Calibri"/>
        </w:rPr>
        <w:t>In die lijn kan ook betoogd worden dat nu de Staat beschikt over welke militaire steun het levert</w:t>
      </w:r>
      <w:r w:rsidR="00F03E45">
        <w:rPr>
          <w:rFonts w:ascii="Calibri" w:eastAsia="Calibri" w:hAnsi="Calibri" w:cs="Calibri"/>
        </w:rPr>
        <w:t xml:space="preserve">, hij daaraan ook zelfstandig de voorwaarden voor het gebruik daarvan kan verbinden. </w:t>
      </w:r>
      <w:r w:rsidR="00BC2464">
        <w:rPr>
          <w:rFonts w:ascii="Calibri" w:eastAsia="Calibri" w:hAnsi="Calibri" w:cs="Calibri"/>
        </w:rPr>
        <w:t>Het nalaten om voorwaarden te verbinden aan gebruik die het mogelijk maakt dat het gebruikt wordt voor een handeling die voor de Staat zelf verboden is onder de CCM</w:t>
      </w:r>
      <w:r w:rsidR="000D1FB5">
        <w:rPr>
          <w:rFonts w:ascii="Calibri" w:eastAsia="Calibri" w:hAnsi="Calibri" w:cs="Calibri"/>
        </w:rPr>
        <w:t>,</w:t>
      </w:r>
      <w:r w:rsidR="00BC2464">
        <w:rPr>
          <w:rFonts w:ascii="Calibri" w:eastAsia="Calibri" w:hAnsi="Calibri" w:cs="Calibri"/>
        </w:rPr>
        <w:t xml:space="preserve"> maakt d</w:t>
      </w:r>
      <w:r w:rsidR="00E30AD3">
        <w:rPr>
          <w:rFonts w:ascii="Calibri" w:eastAsia="Calibri" w:hAnsi="Calibri" w:cs="Calibri"/>
        </w:rPr>
        <w:t xml:space="preserve">e Staat zich niet tot het uiterste heeft ingespannen om </w:t>
      </w:r>
      <w:r w:rsidR="000D1FB5">
        <w:rPr>
          <w:rFonts w:ascii="Calibri" w:eastAsia="Calibri" w:hAnsi="Calibri" w:cs="Calibri"/>
        </w:rPr>
        <w:t xml:space="preserve">de andere staat ervan </w:t>
      </w:r>
      <w:r w:rsidR="00E30AD3">
        <w:rPr>
          <w:rFonts w:ascii="Calibri" w:eastAsia="Calibri" w:hAnsi="Calibri" w:cs="Calibri"/>
        </w:rPr>
        <w:t xml:space="preserve">te weerhouden om clustermunitie af te werpen. </w:t>
      </w:r>
    </w:p>
    <w:p w14:paraId="7F4BFEC6" w14:textId="77777777" w:rsidR="002516CC" w:rsidRDefault="002516CC" w:rsidP="00724FEF">
      <w:pPr>
        <w:jc w:val="both"/>
        <w:rPr>
          <w:rFonts w:ascii="Calibri" w:eastAsia="Calibri" w:hAnsi="Calibri" w:cs="Calibri"/>
        </w:rPr>
      </w:pPr>
    </w:p>
    <w:p w14:paraId="476EA81A" w14:textId="6408A35E" w:rsidR="00D8657E" w:rsidRDefault="002516CC" w:rsidP="00724FEF">
      <w:pPr>
        <w:pStyle w:val="Kop3"/>
        <w:jc w:val="both"/>
        <w:rPr>
          <w:rFonts w:eastAsia="Calibri"/>
        </w:rPr>
      </w:pPr>
      <w:bookmarkStart w:id="13" w:name="_Toc185491848"/>
      <w:r>
        <w:rPr>
          <w:rFonts w:eastAsia="Calibri"/>
        </w:rPr>
        <w:t>Standpunt Staat</w:t>
      </w:r>
      <w:bookmarkEnd w:id="13"/>
      <w:r w:rsidR="00E30AD3">
        <w:rPr>
          <w:rFonts w:eastAsia="Calibri"/>
        </w:rPr>
        <w:t xml:space="preserve"> </w:t>
      </w:r>
    </w:p>
    <w:p w14:paraId="12FCF05E" w14:textId="52134543" w:rsidR="005920DD" w:rsidRDefault="005920DD" w:rsidP="00724FEF">
      <w:pPr>
        <w:jc w:val="both"/>
        <w:rPr>
          <w:rFonts w:ascii="Calibri" w:eastAsia="Calibri" w:hAnsi="Calibri" w:cs="Calibri"/>
        </w:rPr>
      </w:pPr>
      <w:r>
        <w:rPr>
          <w:rFonts w:ascii="Calibri" w:eastAsia="Calibri" w:hAnsi="Calibri" w:cs="Calibri"/>
        </w:rPr>
        <w:t>Bij de goedkeuring van het verdrag hebben de ministers erken</w:t>
      </w:r>
      <w:r w:rsidR="00E1543B">
        <w:rPr>
          <w:rFonts w:ascii="Calibri" w:eastAsia="Calibri" w:hAnsi="Calibri" w:cs="Calibri"/>
        </w:rPr>
        <w:t>d</w:t>
      </w:r>
      <w:r>
        <w:rPr>
          <w:rFonts w:ascii="Calibri" w:eastAsia="Calibri" w:hAnsi="Calibri" w:cs="Calibri"/>
        </w:rPr>
        <w:t xml:space="preserve"> dat er op de Staat een inspanningsverplichting rust: </w:t>
      </w:r>
    </w:p>
    <w:p w14:paraId="0C9DF369" w14:textId="33761E29" w:rsidR="005920DD" w:rsidRDefault="005920DD" w:rsidP="00724FEF">
      <w:pPr>
        <w:ind w:left="708"/>
        <w:jc w:val="both"/>
      </w:pPr>
      <w:r>
        <w:t xml:space="preserve">“Bovendien zullen Staten die partij zijn bij het Verdrag trachten om niet-Partijen te </w:t>
      </w:r>
      <w:r w:rsidRPr="003A15CD">
        <w:rPr>
          <w:u w:val="single"/>
        </w:rPr>
        <w:t>ontmoedigen</w:t>
      </w:r>
      <w:r>
        <w:t xml:space="preserve"> om clustermunitie te gebruiken. Met deze inspanningsverplichting als uitgangspunt en ondanks de verbodsbepaling zoals vastgesteld in artikel 1 van het Verdrag, blijft militaire samenwerking met niet-Partijen toegestaan, ook in operaties waarbij de inzet van clustermunitie niet kan worden uitgesloten. Hierbij geldt wel een aantal in het Verdrag nader omschreven randvoorwaarden.”</w:t>
      </w:r>
      <w:r>
        <w:rPr>
          <w:rStyle w:val="Voetnootmarkering"/>
        </w:rPr>
        <w:footnoteReference w:id="63"/>
      </w:r>
    </w:p>
    <w:p w14:paraId="062A3540" w14:textId="3DB01E7E" w:rsidR="00D86348" w:rsidRDefault="00C66362" w:rsidP="00724FEF">
      <w:pPr>
        <w:jc w:val="both"/>
      </w:pPr>
      <w:r w:rsidRPr="003D5265">
        <w:rPr>
          <w:rFonts w:ascii="Calibri" w:eastAsia="Calibri" w:hAnsi="Calibri" w:cs="Calibri"/>
        </w:rPr>
        <w:t>Met de toevoeging van de zinsnede “</w:t>
      </w:r>
      <w:r w:rsidR="004E55AA" w:rsidRPr="003D5265">
        <w:rPr>
          <w:rFonts w:ascii="Calibri" w:eastAsia="Calibri" w:hAnsi="Calibri" w:cs="Calibri"/>
        </w:rPr>
        <w:t xml:space="preserve">ook in operaties waarbij de </w:t>
      </w:r>
      <w:r w:rsidRPr="003D5265">
        <w:t xml:space="preserve">inzet van clustermunitie niet kan worden uitgesloten” geeft de Staat aan waar </w:t>
      </w:r>
      <w:r w:rsidR="00D86348" w:rsidRPr="003D5265">
        <w:t xml:space="preserve">voor hem </w:t>
      </w:r>
      <w:r w:rsidRPr="003D5265">
        <w:t>de grenzen van artikel 21 lid 3 liggen.</w:t>
      </w:r>
      <w:r w:rsidR="003727B8" w:rsidRPr="003D5265">
        <w:t xml:space="preserve"> </w:t>
      </w:r>
      <w:r w:rsidR="00637F1E" w:rsidRPr="003D5265">
        <w:t xml:space="preserve">Samenwerken mag ook  als het gebruik van clustermunitie niet uitgesloten kan worden. </w:t>
      </w:r>
      <w:r w:rsidR="003D5265" w:rsidRPr="003D5265">
        <w:t>D</w:t>
      </w:r>
      <w:r w:rsidR="00CB73BA">
        <w:t xml:space="preserve">it </w:t>
      </w:r>
      <w:r w:rsidR="003D5265" w:rsidRPr="003D5265">
        <w:t>duid</w:t>
      </w:r>
      <w:r w:rsidR="00CB73BA">
        <w:t>t</w:t>
      </w:r>
      <w:r w:rsidR="003D5265" w:rsidRPr="003D5265">
        <w:t xml:space="preserve"> op een vergaande inspanningsverplichting. </w:t>
      </w:r>
      <w:r w:rsidR="00FC5F22">
        <w:t xml:space="preserve">Dit </w:t>
      </w:r>
      <w:r w:rsidR="00BD30A4">
        <w:t>ligt</w:t>
      </w:r>
      <w:r w:rsidR="00FC5F22">
        <w:t xml:space="preserve"> ook logischerwijs </w:t>
      </w:r>
      <w:r w:rsidR="00BD30A4">
        <w:t>in het verlengde van de resultaatsverplichting van artikel 1 en</w:t>
      </w:r>
      <w:r w:rsidR="003F34BE">
        <w:t xml:space="preserve"> bij het doel van het verdrag. Het belang van dit laatste heeft de minister bij goedkeuring van het verdrag ook onderstreept: </w:t>
      </w:r>
      <w:r w:rsidR="00BD30A4">
        <w:t xml:space="preserve"> </w:t>
      </w:r>
      <w:r w:rsidR="00FC5F22">
        <w:t xml:space="preserve">  </w:t>
      </w:r>
      <w:r>
        <w:t xml:space="preserve"> </w:t>
      </w:r>
    </w:p>
    <w:p w14:paraId="228FAB88" w14:textId="77777777" w:rsidR="005920DD" w:rsidRDefault="005920DD" w:rsidP="00724FEF">
      <w:pPr>
        <w:ind w:left="708"/>
        <w:jc w:val="both"/>
      </w:pPr>
      <w:r>
        <w:t>“</w:t>
      </w:r>
      <w:r w:rsidRPr="00AC7C7C">
        <w:t xml:space="preserve">De strekking van het Verdrag is voorts dat staten die partij zijn bij het Verdrag </w:t>
      </w:r>
      <w:r w:rsidRPr="00047525">
        <w:rPr>
          <w:u w:val="single"/>
        </w:rPr>
        <w:t>zich ervoor in moeten zetten</w:t>
      </w:r>
      <w:r w:rsidRPr="00AC7C7C">
        <w:t xml:space="preserve"> dat derden zich ook onthouden van activiteiten die indruisen tegen de geest van het Verdrag.</w:t>
      </w:r>
      <w:r>
        <w:t>”</w:t>
      </w:r>
      <w:r>
        <w:rPr>
          <w:rStyle w:val="Voetnootmarkering"/>
        </w:rPr>
        <w:footnoteReference w:id="64"/>
      </w:r>
    </w:p>
    <w:p w14:paraId="38FFF0F1" w14:textId="77777777" w:rsidR="00877ADD" w:rsidRDefault="00F96D24" w:rsidP="00724FEF">
      <w:pPr>
        <w:jc w:val="both"/>
      </w:pPr>
      <w:r>
        <w:t xml:space="preserve">Meer recentelijk heeft de Staat in het context van het leveren van militaire goederen aan Oekraïne aangegeven dat </w:t>
      </w:r>
      <w:r w:rsidR="00877ADD">
        <w:t>artikel 21 CCM verplicht:</w:t>
      </w:r>
      <w:r w:rsidR="00877ADD">
        <w:tab/>
      </w:r>
    </w:p>
    <w:p w14:paraId="7B9048C0" w14:textId="4DCB2930" w:rsidR="00877ADD" w:rsidRDefault="00877ADD" w:rsidP="00724FEF">
      <w:pPr>
        <w:ind w:left="708"/>
        <w:jc w:val="both"/>
      </w:pPr>
      <w:r>
        <w:t xml:space="preserve">“de normen die erin zijn vastgelegd te bevorderen en </w:t>
      </w:r>
      <w:r w:rsidRPr="003A15CD">
        <w:rPr>
          <w:u w:val="single"/>
        </w:rPr>
        <w:t>zich tot het uiterste in te spannen</w:t>
      </w:r>
      <w:r>
        <w:t xml:space="preserve"> om staten die geen partij zijn bij het verdrag, te weerhouden van het gebruik van clustermunitie.”</w:t>
      </w:r>
      <w:r>
        <w:rPr>
          <w:rStyle w:val="Voetnootmarkering"/>
        </w:rPr>
        <w:footnoteReference w:id="65"/>
      </w:r>
    </w:p>
    <w:p w14:paraId="6949282B" w14:textId="0A7B3503" w:rsidR="00790296" w:rsidRPr="00877ADD" w:rsidRDefault="00CE3D1F" w:rsidP="00724FEF">
      <w:pPr>
        <w:jc w:val="both"/>
      </w:pPr>
      <w:r>
        <w:t>De Staat stelt dat de CCM niet nader specificeert op welke wijze aan inspanningsverplichting invulling moet worden gegeven en dat hij daarom een aanzienlijke mate van beoordelingsruimte heeft bij het voldoen aan deze inspanningsverplichting.</w:t>
      </w:r>
      <w:r>
        <w:rPr>
          <w:rStyle w:val="Voetnootmarkering"/>
        </w:rPr>
        <w:footnoteReference w:id="66"/>
      </w:r>
      <w:r w:rsidR="00C17FE8">
        <w:t xml:space="preserve"> Vervolgens stel</w:t>
      </w:r>
      <w:r w:rsidR="00B24BEE">
        <w:t>t</w:t>
      </w:r>
      <w:r w:rsidR="00C17FE8">
        <w:t xml:space="preserve"> de Staat dat lid 3 militaire samenwerking toestaat als aan de v</w:t>
      </w:r>
      <w:r>
        <w:t>oorwaarde</w:t>
      </w:r>
      <w:r w:rsidR="00C17FE8">
        <w:t xml:space="preserve">n is voldaan </w:t>
      </w:r>
      <w:r>
        <w:t>dat een staat die wel partij is zelf geen clustermunitie gebruikt of</w:t>
      </w:r>
      <w:r w:rsidR="00C17FE8">
        <w:t xml:space="preserve"> </w:t>
      </w:r>
      <w:r>
        <w:t>het gebruik ervan nastreeft.</w:t>
      </w:r>
      <w:r w:rsidR="00C17FE8">
        <w:rPr>
          <w:rStyle w:val="Voetnootmarkering"/>
        </w:rPr>
        <w:footnoteReference w:id="67"/>
      </w:r>
      <w:r w:rsidR="00C17FE8">
        <w:t xml:space="preserve"> </w:t>
      </w:r>
      <w:r w:rsidR="00560CFD">
        <w:t>De Staat lijkt hiermee te willen suggereren dat</w:t>
      </w:r>
      <w:r w:rsidR="00450FFD">
        <w:t>,</w:t>
      </w:r>
      <w:r w:rsidR="00560CFD">
        <w:t xml:space="preserve"> </w:t>
      </w:r>
      <w:r w:rsidR="00331936">
        <w:t>omdat hij een ruime beoordelingsruimte heeft, en samenwerking is toegestaan</w:t>
      </w:r>
      <w:r w:rsidR="00F647BA">
        <w:t>,</w:t>
      </w:r>
      <w:r w:rsidR="00331936">
        <w:t xml:space="preserve"> </w:t>
      </w:r>
      <w:r w:rsidR="00A87293">
        <w:t xml:space="preserve">hij geen inspanningsverplichting heeft om een voorwaarde omtrent het gebruik voor clustermunitie te stellen. Dit </w:t>
      </w:r>
      <w:r w:rsidR="00DA19D9">
        <w:t xml:space="preserve">is onjuist nu het de </w:t>
      </w:r>
      <w:r w:rsidR="00DA19D9">
        <w:lastRenderedPageBreak/>
        <w:t xml:space="preserve">plicht van de Staat </w:t>
      </w:r>
      <w:r w:rsidR="00A87293">
        <w:t xml:space="preserve">miskent </w:t>
      </w:r>
      <w:r w:rsidR="00DA19D9">
        <w:t xml:space="preserve">om zich </w:t>
      </w:r>
      <w:r w:rsidR="00A87293">
        <w:t>tot het uiterste in</w:t>
      </w:r>
      <w:r w:rsidR="00DA19D9">
        <w:t xml:space="preserve"> te </w:t>
      </w:r>
      <w:r w:rsidR="00A87293">
        <w:t>spannen Oekraïne te weerhouden van het gebruik.</w:t>
      </w:r>
    </w:p>
    <w:p w14:paraId="5A8D0FB3" w14:textId="77777777" w:rsidR="00830BC1" w:rsidRPr="00830BC1" w:rsidRDefault="00830BC1" w:rsidP="00724FEF">
      <w:pPr>
        <w:jc w:val="both"/>
      </w:pPr>
    </w:p>
    <w:p w14:paraId="2C5B0346" w14:textId="49F67DBE" w:rsidR="00E62047" w:rsidRDefault="00E62047" w:rsidP="00724FEF">
      <w:pPr>
        <w:pStyle w:val="Kop1"/>
        <w:jc w:val="both"/>
      </w:pPr>
      <w:bookmarkStart w:id="14" w:name="_Toc185491849"/>
      <w:r>
        <w:t>Beantwoord</w:t>
      </w:r>
      <w:r w:rsidR="00D27E2A">
        <w:t>ing</w:t>
      </w:r>
      <w:r>
        <w:t xml:space="preserve"> vragen</w:t>
      </w:r>
      <w:r w:rsidR="00C10513">
        <w:t xml:space="preserve"> </w:t>
      </w:r>
      <w:r w:rsidR="00E83B6E">
        <w:t>1 t/m 4</w:t>
      </w:r>
      <w:bookmarkEnd w:id="14"/>
    </w:p>
    <w:p w14:paraId="45D1E287" w14:textId="77777777" w:rsidR="00550625" w:rsidRPr="00494E8D" w:rsidRDefault="00550625" w:rsidP="00724FEF">
      <w:pPr>
        <w:pStyle w:val="Kop2"/>
        <w:jc w:val="both"/>
      </w:pPr>
      <w:bookmarkStart w:id="15" w:name="_Toc185491850"/>
      <w:r w:rsidRPr="00494E8D">
        <w:t>Vraag 1 – Verboden steun</w:t>
      </w:r>
      <w:bookmarkEnd w:id="15"/>
      <w:r w:rsidRPr="00494E8D">
        <w:t xml:space="preserve"> </w:t>
      </w:r>
    </w:p>
    <w:p w14:paraId="1FEC3EFE" w14:textId="41816096" w:rsidR="00550625" w:rsidRDefault="00450FFD" w:rsidP="00724FEF">
      <w:pPr>
        <w:jc w:val="both"/>
      </w:pPr>
      <w:r>
        <w:t>D</w:t>
      </w:r>
      <w:r w:rsidR="00C903FE">
        <w:t xml:space="preserve">e eerste vraag </w:t>
      </w:r>
      <w:r>
        <w:t xml:space="preserve">luidt </w:t>
      </w:r>
      <w:r w:rsidR="00C903FE">
        <w:t>of Nederland door lever</w:t>
      </w:r>
      <w:r w:rsidR="00DA20B5">
        <w:t>ing</w:t>
      </w:r>
      <w:r w:rsidR="00C903FE">
        <w:t xml:space="preserve"> van F-16’s aan Oekraïne zonder te verbieden dat </w:t>
      </w:r>
      <w:r w:rsidR="00630AC2">
        <w:t xml:space="preserve">deze </w:t>
      </w:r>
      <w:r w:rsidR="00C903FE">
        <w:t>gebruikt word</w:t>
      </w:r>
      <w:r w:rsidR="00630AC2">
        <w:t>en</w:t>
      </w:r>
      <w:r w:rsidR="00C903FE">
        <w:t xml:space="preserve"> om clustermunitie af te werpen</w:t>
      </w:r>
      <w:r w:rsidR="00DA20B5">
        <w:t>,</w:t>
      </w:r>
      <w:r w:rsidR="00C903FE">
        <w:t xml:space="preserve"> verboden steun </w:t>
      </w:r>
      <w:r w:rsidR="00EC071A">
        <w:t xml:space="preserve">levert </w:t>
      </w:r>
      <w:r w:rsidR="00C903FE">
        <w:t>aan het gebruik van clustermunitie.</w:t>
      </w:r>
      <w:r w:rsidR="00550625">
        <w:t xml:space="preserve"> </w:t>
      </w:r>
    </w:p>
    <w:p w14:paraId="7B9FDBD6" w14:textId="1AF5EC84" w:rsidR="007E21A6" w:rsidRDefault="003A5D98" w:rsidP="00724FEF">
      <w:pPr>
        <w:pStyle w:val="Tekst"/>
        <w:numPr>
          <w:ilvl w:val="0"/>
          <w:numId w:val="0"/>
        </w:numPr>
        <w:jc w:val="both"/>
      </w:pPr>
      <w:r>
        <w:t>Het antwoord op de</w:t>
      </w:r>
      <w:r w:rsidR="00D244AF">
        <w:t xml:space="preserve">ze </w:t>
      </w:r>
      <w:r>
        <w:t xml:space="preserve">eerste vraag </w:t>
      </w:r>
      <w:r w:rsidR="00E756FA">
        <w:t xml:space="preserve">is </w:t>
      </w:r>
      <w:r w:rsidR="00EC071A">
        <w:t>positief</w:t>
      </w:r>
      <w:r>
        <w:t xml:space="preserve">. </w:t>
      </w:r>
      <w:r w:rsidR="00C55257">
        <w:t xml:space="preserve">Goed betoogd kan </w:t>
      </w:r>
      <w:r w:rsidR="009C620F">
        <w:t xml:space="preserve">immers </w:t>
      </w:r>
      <w:r w:rsidR="00C55257">
        <w:t xml:space="preserve">worden dat </w:t>
      </w:r>
      <w:r w:rsidR="002F71C1">
        <w:t>Nederland door het doneren van F-16’s aan Oekraïne</w:t>
      </w:r>
      <w:r w:rsidR="00324DBB">
        <w:t xml:space="preserve">, met wetenschap dat </w:t>
      </w:r>
      <w:r w:rsidR="00AD02AA">
        <w:t>Oekraïne</w:t>
      </w:r>
      <w:r w:rsidR="00324DBB">
        <w:t xml:space="preserve"> </w:t>
      </w:r>
      <w:r w:rsidR="00AD02AA">
        <w:t xml:space="preserve">over </w:t>
      </w:r>
      <w:r w:rsidR="00324DBB">
        <w:t xml:space="preserve">clustermunitie </w:t>
      </w:r>
      <w:r w:rsidR="00AD02AA">
        <w:t xml:space="preserve">beschikt, </w:t>
      </w:r>
      <w:r w:rsidR="004352AC">
        <w:t xml:space="preserve">dat het deze wil gebruiken, </w:t>
      </w:r>
      <w:r w:rsidR="00AD02AA">
        <w:t xml:space="preserve">dat het deze heeft </w:t>
      </w:r>
      <w:r w:rsidR="00324DBB">
        <w:t xml:space="preserve">gebruikt met burgerslachtoffers tot gevolg en zeer waarschijnlijk in strijd met het </w:t>
      </w:r>
      <w:r w:rsidR="008C37A4">
        <w:t xml:space="preserve">internationaal humanitair recht, </w:t>
      </w:r>
      <w:r w:rsidR="004352AC">
        <w:t xml:space="preserve">en </w:t>
      </w:r>
      <w:r w:rsidR="008C37A4">
        <w:t>dat de F-16</w:t>
      </w:r>
      <w:r w:rsidR="004352AC">
        <w:t>’</w:t>
      </w:r>
      <w:r w:rsidR="008C37A4">
        <w:t xml:space="preserve">s </w:t>
      </w:r>
      <w:r w:rsidR="004352AC">
        <w:t>geschikt zijn</w:t>
      </w:r>
      <w:r w:rsidR="008C37A4">
        <w:t xml:space="preserve"> om clustermunitie </w:t>
      </w:r>
      <w:r w:rsidR="004352AC">
        <w:t xml:space="preserve">mee </w:t>
      </w:r>
      <w:r w:rsidR="008C37A4">
        <w:t>af te werpen</w:t>
      </w:r>
      <w:r w:rsidR="00A960E5">
        <w:t>,</w:t>
      </w:r>
      <w:r w:rsidR="00A6646A">
        <w:t xml:space="preserve"> en daaraan niet de voorwaarde heeft</w:t>
      </w:r>
      <w:r w:rsidR="000C5C8D">
        <w:t xml:space="preserve"> </w:t>
      </w:r>
      <w:r w:rsidR="00ED464D">
        <w:t xml:space="preserve">verbonden </w:t>
      </w:r>
      <w:r w:rsidR="000C5C8D">
        <w:t xml:space="preserve">dat ze </w:t>
      </w:r>
      <w:r w:rsidR="000C5C8D" w:rsidRPr="00494E8D">
        <w:t>niet voor het gebruik van clustermunitie mogen worden aangewend</w:t>
      </w:r>
      <w:r w:rsidR="007177E6">
        <w:t xml:space="preserve">, </w:t>
      </w:r>
      <w:r w:rsidR="005704D9">
        <w:t xml:space="preserve">in strijd met zijn </w:t>
      </w:r>
      <w:r w:rsidR="00706FF9">
        <w:t>resultaatsverplichting van artikel 1 lid 1 sub c CCM</w:t>
      </w:r>
      <w:r w:rsidR="005704D9">
        <w:t xml:space="preserve"> heeft gehandeld. </w:t>
      </w:r>
    </w:p>
    <w:p w14:paraId="69E11631" w14:textId="6C007354" w:rsidR="0075108A" w:rsidRPr="00494E8D" w:rsidRDefault="00550625" w:rsidP="00724FEF">
      <w:pPr>
        <w:pStyle w:val="Tekst"/>
        <w:numPr>
          <w:ilvl w:val="0"/>
          <w:numId w:val="0"/>
        </w:numPr>
        <w:jc w:val="both"/>
      </w:pPr>
      <w:r w:rsidRPr="00494E8D">
        <w:t xml:space="preserve">De kern van de verplichtingen die </w:t>
      </w:r>
      <w:r>
        <w:t>s</w:t>
      </w:r>
      <w:r w:rsidRPr="00494E8D">
        <w:t xml:space="preserve">taten aangaan bij het </w:t>
      </w:r>
      <w:r w:rsidR="00CA0591">
        <w:t xml:space="preserve">ratificeren </w:t>
      </w:r>
      <w:r w:rsidRPr="00494E8D">
        <w:t>van de CCM is om de schade aan burgers die wordt veroorzaakt door clusterbommen te</w:t>
      </w:r>
      <w:r w:rsidR="005704D9">
        <w:t xml:space="preserve"> voorkomen en</w:t>
      </w:r>
      <w:r w:rsidRPr="00494E8D">
        <w:t xml:space="preserve"> </w:t>
      </w:r>
      <w:r w:rsidR="00CA0591">
        <w:t xml:space="preserve">te </w:t>
      </w:r>
      <w:r w:rsidRPr="00494E8D">
        <w:t xml:space="preserve">minimaliseren. </w:t>
      </w:r>
      <w:r w:rsidR="005704D9">
        <w:t>De r</w:t>
      </w:r>
      <w:r w:rsidR="0075108A">
        <w:t xml:space="preserve">esultaatsverplichting </w:t>
      </w:r>
      <w:r w:rsidR="005704D9">
        <w:t xml:space="preserve">die op </w:t>
      </w:r>
      <w:r w:rsidR="007279C0">
        <w:t>de Staat</w:t>
      </w:r>
      <w:r w:rsidR="005704D9">
        <w:t xml:space="preserve"> rust </w:t>
      </w:r>
      <w:r w:rsidR="0075108A">
        <w:t>om geen steun te verlenen aan landen die clustermunitie gebruiken</w:t>
      </w:r>
      <w:r w:rsidR="00CF0ADF">
        <w:t>, zoals Oekraïne,</w:t>
      </w:r>
      <w:r w:rsidR="0075108A">
        <w:t xml:space="preserve"> verplicht </w:t>
      </w:r>
      <w:r w:rsidR="005704D9">
        <w:t xml:space="preserve">de Staat </w:t>
      </w:r>
      <w:r w:rsidR="0075108A">
        <w:t xml:space="preserve">tot ieder handelen dat binnen </w:t>
      </w:r>
      <w:r w:rsidR="00CF0ADF">
        <w:t>zijn</w:t>
      </w:r>
      <w:r w:rsidR="0075108A">
        <w:t xml:space="preserve"> macht ligt om dit risico</w:t>
      </w:r>
      <w:r w:rsidR="00CF0ADF">
        <w:t xml:space="preserve"> </w:t>
      </w:r>
      <w:r w:rsidR="007279C0">
        <w:t>op burgerslachtoffers</w:t>
      </w:r>
      <w:r w:rsidR="0075108A" w:rsidRPr="00494E8D">
        <w:t xml:space="preserve"> </w:t>
      </w:r>
      <w:r w:rsidR="0075108A">
        <w:t xml:space="preserve">te voorkomen, dan wel </w:t>
      </w:r>
      <w:r w:rsidR="00621145">
        <w:t xml:space="preserve">tot het uiterste </w:t>
      </w:r>
      <w:r w:rsidR="0075108A">
        <w:t>te beperken.</w:t>
      </w:r>
      <w:r w:rsidR="00A42C3C">
        <w:t xml:space="preserve"> Het stellen van een voorwaarde aan </w:t>
      </w:r>
      <w:r w:rsidR="00832B57">
        <w:t>toekomstig</w:t>
      </w:r>
      <w:r w:rsidR="00A42C3C">
        <w:t xml:space="preserve"> gebruik </w:t>
      </w:r>
      <w:r w:rsidR="00832B57">
        <w:t xml:space="preserve">van de F-16 door Oekraïne </w:t>
      </w:r>
      <w:r w:rsidR="00A42C3C">
        <w:t xml:space="preserve">alvorens </w:t>
      </w:r>
      <w:r w:rsidR="00832B57">
        <w:t xml:space="preserve">deze </w:t>
      </w:r>
      <w:r w:rsidR="00A42C3C">
        <w:t>te doneren</w:t>
      </w:r>
      <w:r w:rsidR="00832B57">
        <w:t>,</w:t>
      </w:r>
      <w:r w:rsidR="00A42C3C">
        <w:t xml:space="preserve"> is evident een handeling die binnen het </w:t>
      </w:r>
      <w:r w:rsidR="00C47D64">
        <w:t>beslissings</w:t>
      </w:r>
      <w:r w:rsidR="00A42C3C">
        <w:t>domein van de Staat valt</w:t>
      </w:r>
      <w:r w:rsidR="00C47D64">
        <w:t>. In de</w:t>
      </w:r>
      <w:r w:rsidR="000F2345">
        <w:t xml:space="preserve"> huidige </w:t>
      </w:r>
      <w:r w:rsidR="00C47D64">
        <w:t xml:space="preserve">context </w:t>
      </w:r>
      <w:r w:rsidR="00C0634B">
        <w:t xml:space="preserve">verplicht de CCM </w:t>
      </w:r>
      <w:r w:rsidR="00C47D64">
        <w:t xml:space="preserve">de Staat </w:t>
      </w:r>
      <w:r w:rsidR="00C0634B">
        <w:t xml:space="preserve">tot het verbinden van </w:t>
      </w:r>
      <w:r w:rsidR="00C47D64">
        <w:t>deze voorwaarde aan het gebruik van F-16’s</w:t>
      </w:r>
      <w:r w:rsidR="00C0634B">
        <w:t xml:space="preserve">. </w:t>
      </w:r>
    </w:p>
    <w:p w14:paraId="6AEF8543" w14:textId="370D1639" w:rsidR="00550625" w:rsidRDefault="00550625" w:rsidP="00724FEF">
      <w:pPr>
        <w:pStyle w:val="Tekst"/>
        <w:numPr>
          <w:ilvl w:val="0"/>
          <w:numId w:val="0"/>
        </w:numPr>
        <w:jc w:val="both"/>
      </w:pPr>
      <w:r w:rsidRPr="00494E8D">
        <w:t xml:space="preserve">Met betrekking tot vraag 1 </w:t>
      </w:r>
      <w:r w:rsidR="00740023">
        <w:t>moet benoem</w:t>
      </w:r>
      <w:r w:rsidR="000F2345">
        <w:t>d</w:t>
      </w:r>
      <w:r w:rsidR="00740023">
        <w:t xml:space="preserve"> worden</w:t>
      </w:r>
      <w:r w:rsidR="00A6138A">
        <w:t>,</w:t>
      </w:r>
      <w:r w:rsidR="00740023">
        <w:t xml:space="preserve"> dat </w:t>
      </w:r>
      <w:r w:rsidR="00D11A63">
        <w:t>‘steun’ in artikel 1 niet duidelijk gedefinieerd is</w:t>
      </w:r>
      <w:r w:rsidR="002F630B">
        <w:t>. De Staat heeft een bepaalde beoordelingsruimte om te kwalificeren wat steun is in een concreet geval.</w:t>
      </w:r>
      <w:r w:rsidR="002F630B">
        <w:rPr>
          <w:rStyle w:val="Voetnootmarkering"/>
        </w:rPr>
        <w:footnoteReference w:id="68"/>
      </w:r>
      <w:r w:rsidR="00FE38D6">
        <w:t xml:space="preserve"> Dit wordt ingekaderd door de</w:t>
      </w:r>
      <w:r w:rsidRPr="00494E8D">
        <w:t xml:space="preserve"> duidelijke intentie om artikel </w:t>
      </w:r>
      <w:r>
        <w:t xml:space="preserve">1 lid 1 sub c CCM </w:t>
      </w:r>
      <w:r w:rsidRPr="00494E8D">
        <w:t xml:space="preserve">zo </w:t>
      </w:r>
      <w:r w:rsidR="00D11A63">
        <w:t>ruim</w:t>
      </w:r>
      <w:r w:rsidRPr="00494E8D">
        <w:t xml:space="preserve"> mogelijk te interpreteren. </w:t>
      </w:r>
      <w:r w:rsidR="008303E9">
        <w:t xml:space="preserve">Dit doet </w:t>
      </w:r>
      <w:r w:rsidR="00544396">
        <w:t xml:space="preserve">immers </w:t>
      </w:r>
      <w:r w:rsidR="008303E9">
        <w:t>recht aan de tekst en in het bijzonder de doelstelling van het verdrag.</w:t>
      </w:r>
      <w:r w:rsidR="00A43F0C">
        <w:t xml:space="preserve"> Van belang is dat de Staat zelf </w:t>
      </w:r>
      <w:r w:rsidR="007508F1">
        <w:t xml:space="preserve">al een voorwaarde aan het gebruik heeft verbonden, namelijk </w:t>
      </w:r>
      <w:r w:rsidR="00C62688">
        <w:t xml:space="preserve">dat het enkel mag worden </w:t>
      </w:r>
      <w:r w:rsidR="004F7E61">
        <w:t>“</w:t>
      </w:r>
      <w:r w:rsidR="00C62688">
        <w:t>gebruikt ter zelfverdediging conform artikel 51 van het VN-Handvest en in overeenstemming met het internationaal recht, waaronder het humanitair oorlogsrecht.</w:t>
      </w:r>
      <w:r w:rsidR="004F7E61">
        <w:t>”</w:t>
      </w:r>
      <w:r w:rsidR="004F7E61">
        <w:rPr>
          <w:rStyle w:val="Voetnootmarkering"/>
        </w:rPr>
        <w:footnoteReference w:id="69"/>
      </w:r>
      <w:r w:rsidR="008303E9">
        <w:t xml:space="preserve"> </w:t>
      </w:r>
      <w:r w:rsidR="00177CAB">
        <w:t>Wanneer</w:t>
      </w:r>
      <w:r>
        <w:t xml:space="preserve"> aangesloten wordt bij de interpretatie die volgt uit het anti-personeel</w:t>
      </w:r>
      <w:r w:rsidR="00177CAB">
        <w:t xml:space="preserve"> land</w:t>
      </w:r>
      <w:r>
        <w:t xml:space="preserve">mijnenverdrag dan </w:t>
      </w:r>
      <w:r w:rsidR="00177CAB">
        <w:t xml:space="preserve">dient er sprake te zijn van een </w:t>
      </w:r>
      <w:proofErr w:type="spellStart"/>
      <w:r w:rsidRPr="005F639D">
        <w:t>nexus</w:t>
      </w:r>
      <w:proofErr w:type="spellEnd"/>
      <w:r w:rsidRPr="005F639D">
        <w:t xml:space="preserve"> tussen het ter beschikking stellen van F-16</w:t>
      </w:r>
      <w:r w:rsidR="00177CAB" w:rsidRPr="005F639D">
        <w:t>’s</w:t>
      </w:r>
      <w:r w:rsidRPr="005F639D">
        <w:t xml:space="preserve"> aan Oekraïne door Nederland en het afwerpen van clustermunitie door F-16’s door Oekraïne.</w:t>
      </w:r>
      <w:r w:rsidR="00177CAB" w:rsidRPr="005F639D">
        <w:t xml:space="preserve"> </w:t>
      </w:r>
      <w:r w:rsidR="00650A46">
        <w:t xml:space="preserve">Hoewel over de definitie van </w:t>
      </w:r>
      <w:r w:rsidR="002563D4">
        <w:t xml:space="preserve">een </w:t>
      </w:r>
      <w:proofErr w:type="spellStart"/>
      <w:r w:rsidR="00650A46">
        <w:t>nexus</w:t>
      </w:r>
      <w:proofErr w:type="spellEnd"/>
      <w:r w:rsidR="00650A46">
        <w:t xml:space="preserve"> kan worden getwist</w:t>
      </w:r>
      <w:r w:rsidR="004162CF">
        <w:t xml:space="preserve">, valt </w:t>
      </w:r>
      <w:r w:rsidR="002563D4">
        <w:t xml:space="preserve">te </w:t>
      </w:r>
      <w:r w:rsidR="004162CF">
        <w:t xml:space="preserve">beargumenteren dat </w:t>
      </w:r>
      <w:r w:rsidR="00177CAB" w:rsidRPr="005F639D">
        <w:t xml:space="preserve">de </w:t>
      </w:r>
      <w:r w:rsidR="0065573D">
        <w:t xml:space="preserve">feiten </w:t>
      </w:r>
      <w:r w:rsidR="00612E54">
        <w:t xml:space="preserve">in deze casus </w:t>
      </w:r>
      <w:r w:rsidR="0065573D">
        <w:t xml:space="preserve">het bestaan van een </w:t>
      </w:r>
      <w:proofErr w:type="spellStart"/>
      <w:r w:rsidR="0065573D">
        <w:t>nexus</w:t>
      </w:r>
      <w:proofErr w:type="spellEnd"/>
      <w:r w:rsidR="0065573D">
        <w:t xml:space="preserve"> </w:t>
      </w:r>
      <w:r w:rsidR="009A6C4C">
        <w:t>aantonen</w:t>
      </w:r>
      <w:r w:rsidR="0065573D">
        <w:t xml:space="preserve">. </w:t>
      </w:r>
    </w:p>
    <w:p w14:paraId="70584F3D" w14:textId="77777777" w:rsidR="00550625" w:rsidRPr="00494E8D" w:rsidRDefault="00550625" w:rsidP="00724FEF">
      <w:pPr>
        <w:jc w:val="both"/>
        <w:rPr>
          <w:color w:val="333333"/>
        </w:rPr>
      </w:pPr>
    </w:p>
    <w:p w14:paraId="6111FC1D" w14:textId="77777777" w:rsidR="00550625" w:rsidRPr="00494E8D" w:rsidRDefault="00550625" w:rsidP="00724FEF">
      <w:pPr>
        <w:pStyle w:val="Kop2"/>
        <w:jc w:val="both"/>
      </w:pPr>
      <w:bookmarkStart w:id="16" w:name="_Toc185491851"/>
      <w:r w:rsidRPr="00494E8D">
        <w:lastRenderedPageBreak/>
        <w:t xml:space="preserve">Vraag 2 – </w:t>
      </w:r>
      <w:r>
        <w:t>Tot het uiterste</w:t>
      </w:r>
      <w:bookmarkEnd w:id="16"/>
    </w:p>
    <w:p w14:paraId="0A01C618" w14:textId="4260F70C" w:rsidR="00550625" w:rsidRPr="00494E8D" w:rsidRDefault="00544396" w:rsidP="00724FEF">
      <w:pPr>
        <w:jc w:val="both"/>
      </w:pPr>
      <w:r>
        <w:t>De tweede vraag toegespits</w:t>
      </w:r>
      <w:r w:rsidR="00B32B9F">
        <w:t>t</w:t>
      </w:r>
      <w:r>
        <w:t xml:space="preserve"> op de onderhavige situatie </w:t>
      </w:r>
      <w:r w:rsidR="00B32B9F">
        <w:t>is</w:t>
      </w:r>
      <w:r w:rsidR="00EE3B78">
        <w:t xml:space="preserve"> of</w:t>
      </w:r>
      <w:r w:rsidR="00B32B9F">
        <w:t xml:space="preserve"> </w:t>
      </w:r>
      <w:r w:rsidR="00EE3B78">
        <w:t xml:space="preserve">de </w:t>
      </w:r>
      <w:r w:rsidR="00B32B9F">
        <w:t>inspanningsverplichting</w:t>
      </w:r>
      <w:r>
        <w:t xml:space="preserve"> </w:t>
      </w:r>
      <w:r w:rsidR="00EE3B78">
        <w:t>van de Staat hem verplicht om gebruiksbeperkingen te verbinden aan de F-16’s die hij doneert aan Oekraïne. D</w:t>
      </w:r>
      <w:r w:rsidR="00550625">
        <w:t xml:space="preserve">e tweede vraag </w:t>
      </w:r>
      <w:r w:rsidR="00550625" w:rsidRPr="00494E8D">
        <w:t>luidt:</w:t>
      </w:r>
    </w:p>
    <w:p w14:paraId="01194D3B" w14:textId="77777777" w:rsidR="00550625" w:rsidRPr="00494E8D" w:rsidRDefault="00550625" w:rsidP="00724FEF">
      <w:pPr>
        <w:ind w:left="708"/>
        <w:jc w:val="both"/>
      </w:pPr>
      <w:r w:rsidRPr="00494E8D">
        <w:t>“Brengt de verplichting die uit artikel 21, tweede lid voortvloeit om zich “tot het uiterste in te spannen” om Oekraïne te weerhouden van het gebruik van clustermunitie mede dat Nederland, als zij militaire of financiële middelen die kunnen worden ingezet voor het gebruik van clustermunitie ter beschikking stelt aan Oekraïne, daaraan de voorwaarde dient te verbinden dat die middelen niet voor het gebruik van clustermunitie mogen worden aangewend?”</w:t>
      </w:r>
    </w:p>
    <w:p w14:paraId="42B480FD" w14:textId="009FBF9F" w:rsidR="00550625" w:rsidRDefault="009F46FF" w:rsidP="00724FEF">
      <w:pPr>
        <w:jc w:val="both"/>
        <w:rPr>
          <w:rFonts w:eastAsia="Calibri"/>
        </w:rPr>
      </w:pPr>
      <w:r>
        <w:rPr>
          <w:rFonts w:eastAsia="Calibri"/>
        </w:rPr>
        <w:t>Voor het doel van dit advies w</w:t>
      </w:r>
      <w:r w:rsidR="00550625">
        <w:rPr>
          <w:rFonts w:eastAsia="Calibri"/>
        </w:rPr>
        <w:t xml:space="preserve">ordt </w:t>
      </w:r>
      <w:r>
        <w:rPr>
          <w:rFonts w:eastAsia="Calibri"/>
        </w:rPr>
        <w:t>aangenomen dat Nederland en Oekraïne</w:t>
      </w:r>
      <w:r w:rsidR="00550625">
        <w:rPr>
          <w:rFonts w:eastAsia="Calibri"/>
        </w:rPr>
        <w:t xml:space="preserve"> samenwerk</w:t>
      </w:r>
      <w:r>
        <w:rPr>
          <w:rFonts w:eastAsia="Calibri"/>
        </w:rPr>
        <w:t>en</w:t>
      </w:r>
      <w:r w:rsidR="00550625">
        <w:rPr>
          <w:rFonts w:eastAsia="Calibri"/>
        </w:rPr>
        <w:t xml:space="preserve"> op militair gebied</w:t>
      </w:r>
      <w:r>
        <w:rPr>
          <w:rFonts w:eastAsia="Calibri"/>
        </w:rPr>
        <w:t xml:space="preserve"> </w:t>
      </w:r>
      <w:r w:rsidR="0008335A">
        <w:rPr>
          <w:rFonts w:eastAsia="Calibri"/>
        </w:rPr>
        <w:t xml:space="preserve">in de zin van artikel 21 lid 3 door het steunen van Oekraïne in de vorm van onder meer het doneren van F-16’s. </w:t>
      </w:r>
    </w:p>
    <w:p w14:paraId="18A0EF1E" w14:textId="7485E47D" w:rsidR="003A5D98" w:rsidRDefault="00550625" w:rsidP="00724FEF">
      <w:pPr>
        <w:jc w:val="both"/>
        <w:rPr>
          <w:rFonts w:ascii="Calibri" w:eastAsia="Calibri" w:hAnsi="Calibri" w:cs="Calibri"/>
        </w:rPr>
      </w:pPr>
      <w:r>
        <w:rPr>
          <w:rFonts w:eastAsia="Calibri"/>
        </w:rPr>
        <w:t xml:space="preserve">Ingevolge </w:t>
      </w:r>
      <w:r w:rsidR="00594878">
        <w:rPr>
          <w:rFonts w:ascii="Calibri" w:eastAsia="Calibri" w:hAnsi="Calibri" w:cs="Calibri"/>
        </w:rPr>
        <w:t>artikel 21</w:t>
      </w:r>
      <w:r w:rsidR="009C1238">
        <w:rPr>
          <w:rFonts w:ascii="Calibri" w:eastAsia="Calibri" w:hAnsi="Calibri" w:cs="Calibri"/>
        </w:rPr>
        <w:t xml:space="preserve"> </w:t>
      </w:r>
      <w:r>
        <w:rPr>
          <w:rFonts w:eastAsia="Calibri"/>
        </w:rPr>
        <w:t xml:space="preserve">lid 2 rust er </w:t>
      </w:r>
      <w:r>
        <w:rPr>
          <w:rFonts w:ascii="Calibri" w:eastAsia="Calibri" w:hAnsi="Calibri" w:cs="Calibri"/>
        </w:rPr>
        <w:t xml:space="preserve">op de Staat een </w:t>
      </w:r>
      <w:r w:rsidRPr="00151D1D">
        <w:rPr>
          <w:rFonts w:ascii="Calibri" w:eastAsia="Calibri" w:hAnsi="Calibri" w:cs="Calibri"/>
          <w:u w:val="single"/>
        </w:rPr>
        <w:t>inspanningsverplichting</w:t>
      </w:r>
      <w:r>
        <w:rPr>
          <w:rFonts w:ascii="Calibri" w:eastAsia="Calibri" w:hAnsi="Calibri" w:cs="Calibri"/>
        </w:rPr>
        <w:t xml:space="preserve"> om zich tot het uiterste in te spannen om Oekraïne ervan te weerhouden om gebruik te maken van clustermunitie. De reikwijdte van de inspanningsverplichting hangt af van de omstandigheden van het geval. </w:t>
      </w:r>
      <w:r w:rsidR="003A5D98">
        <w:rPr>
          <w:rFonts w:ascii="Calibri" w:eastAsia="Calibri" w:hAnsi="Calibri" w:cs="Calibri"/>
        </w:rPr>
        <w:t xml:space="preserve">Nu ook al op grond van artikel 1 </w:t>
      </w:r>
      <w:r w:rsidR="009C620F">
        <w:rPr>
          <w:rFonts w:ascii="Calibri" w:eastAsia="Calibri" w:hAnsi="Calibri" w:cs="Calibri"/>
        </w:rPr>
        <w:t xml:space="preserve">CCM </w:t>
      </w:r>
      <w:r w:rsidR="003A5D98">
        <w:rPr>
          <w:rFonts w:ascii="Calibri" w:eastAsia="Calibri" w:hAnsi="Calibri" w:cs="Calibri"/>
        </w:rPr>
        <w:t>een verplichting rust op de Staat om een voorwaarde te</w:t>
      </w:r>
      <w:r w:rsidR="009C620F">
        <w:rPr>
          <w:rFonts w:ascii="Calibri" w:eastAsia="Calibri" w:hAnsi="Calibri" w:cs="Calibri"/>
        </w:rPr>
        <w:t xml:space="preserve"> </w:t>
      </w:r>
      <w:r w:rsidR="009C1238">
        <w:rPr>
          <w:rFonts w:ascii="Calibri" w:eastAsia="Calibri" w:hAnsi="Calibri" w:cs="Calibri"/>
        </w:rPr>
        <w:t xml:space="preserve">verbinden </w:t>
      </w:r>
      <w:r w:rsidR="009C620F">
        <w:rPr>
          <w:rFonts w:ascii="Calibri" w:eastAsia="Calibri" w:hAnsi="Calibri" w:cs="Calibri"/>
        </w:rPr>
        <w:t>aan het gebruik van de F-16’s geldt dit ook voor de inspanningsverplichting</w:t>
      </w:r>
      <w:r w:rsidR="009C1238">
        <w:rPr>
          <w:rFonts w:ascii="Calibri" w:eastAsia="Calibri" w:hAnsi="Calibri" w:cs="Calibri"/>
        </w:rPr>
        <w:t xml:space="preserve"> op grond van artikel 21 lid 2</w:t>
      </w:r>
      <w:r w:rsidR="009C620F">
        <w:rPr>
          <w:rFonts w:ascii="Calibri" w:eastAsia="Calibri" w:hAnsi="Calibri" w:cs="Calibri"/>
        </w:rPr>
        <w:t xml:space="preserve">. </w:t>
      </w:r>
      <w:r w:rsidR="00FA64C2">
        <w:rPr>
          <w:rFonts w:ascii="Calibri" w:eastAsia="Calibri" w:hAnsi="Calibri" w:cs="Calibri"/>
        </w:rPr>
        <w:t xml:space="preserve">De feiten en omstandigheden die in dat kader zijn aangevoerd nopen ook tot een gebruiksbeperking op grond van artikel 21 lid 2. </w:t>
      </w:r>
    </w:p>
    <w:p w14:paraId="26100D8C" w14:textId="2605406E" w:rsidR="00550625" w:rsidRDefault="00550625" w:rsidP="00724FEF">
      <w:pPr>
        <w:jc w:val="both"/>
        <w:rPr>
          <w:rFonts w:ascii="Calibri" w:eastAsia="Calibri" w:hAnsi="Calibri" w:cs="Calibri"/>
        </w:rPr>
      </w:pPr>
      <w:r>
        <w:rPr>
          <w:rFonts w:ascii="Calibri" w:eastAsia="Calibri" w:hAnsi="Calibri" w:cs="Calibri"/>
        </w:rPr>
        <w:t xml:space="preserve">In de situatie van een gewapend conflict mag </w:t>
      </w:r>
      <w:r w:rsidR="00AB082C">
        <w:rPr>
          <w:rFonts w:ascii="Calibri" w:eastAsia="Calibri" w:hAnsi="Calibri" w:cs="Calibri"/>
        </w:rPr>
        <w:t>op zijn minst van</w:t>
      </w:r>
      <w:r>
        <w:rPr>
          <w:rFonts w:ascii="Calibri" w:eastAsia="Calibri" w:hAnsi="Calibri" w:cs="Calibri"/>
        </w:rPr>
        <w:t xml:space="preserve"> verdragsstaten worden verwacht dat zij verzoeken om geen clustermunitie te gebruiken.</w:t>
      </w:r>
      <w:r w:rsidR="00AB082C">
        <w:rPr>
          <w:rFonts w:ascii="Calibri" w:eastAsia="Calibri" w:hAnsi="Calibri" w:cs="Calibri"/>
        </w:rPr>
        <w:t xml:space="preserve"> </w:t>
      </w:r>
      <w:r w:rsidR="007F6847">
        <w:rPr>
          <w:rFonts w:ascii="Calibri" w:eastAsia="Calibri" w:hAnsi="Calibri" w:cs="Calibri"/>
        </w:rPr>
        <w:t xml:space="preserve">Bekend is de stelling van </w:t>
      </w:r>
      <w:r w:rsidR="00C963BE" w:rsidRPr="00B956A7">
        <w:rPr>
          <w:rFonts w:ascii="Calibri" w:hAnsi="Calibri" w:cs="Calibri"/>
        </w:rPr>
        <w:t>Nederland</w:t>
      </w:r>
      <w:r w:rsidR="00C963BE">
        <w:rPr>
          <w:rFonts w:ascii="Calibri" w:hAnsi="Calibri" w:cs="Calibri"/>
        </w:rPr>
        <w:t xml:space="preserve"> dat het </w:t>
      </w:r>
      <w:r w:rsidR="00C963BE" w:rsidRPr="00204BC2">
        <w:rPr>
          <w:rFonts w:ascii="Calibri" w:hAnsi="Calibri" w:cs="Calibri"/>
        </w:rPr>
        <w:t>Oekraïne heeft ontmoedigd clustermunitie te gebruiken</w:t>
      </w:r>
      <w:r w:rsidR="008E0563">
        <w:rPr>
          <w:rFonts w:ascii="Calibri" w:hAnsi="Calibri" w:cs="Calibri"/>
        </w:rPr>
        <w:t xml:space="preserve"> (</w:t>
      </w:r>
      <w:r w:rsidR="008E0563">
        <w:rPr>
          <w:rFonts w:ascii="Calibri" w:eastAsia="Calibri" w:hAnsi="Calibri" w:cs="Calibri"/>
        </w:rPr>
        <w:t>onder verwijzing naar zijn eigen verplichtingen onder de CCM)</w:t>
      </w:r>
      <w:r w:rsidR="00C963BE" w:rsidRPr="00204BC2">
        <w:rPr>
          <w:rFonts w:ascii="Calibri" w:hAnsi="Calibri" w:cs="Calibri"/>
        </w:rPr>
        <w:t>.</w:t>
      </w:r>
      <w:r w:rsidR="00C963BE" w:rsidRPr="00204BC2">
        <w:rPr>
          <w:rStyle w:val="Voetnootmarkering"/>
          <w:rFonts w:ascii="Calibri" w:hAnsi="Calibri"/>
        </w:rPr>
        <w:footnoteReference w:id="70"/>
      </w:r>
      <w:r w:rsidR="004167BA">
        <w:rPr>
          <w:rFonts w:ascii="Calibri" w:hAnsi="Calibri" w:cs="Calibri"/>
        </w:rPr>
        <w:t xml:space="preserve"> W</w:t>
      </w:r>
      <w:r w:rsidR="00BC3FF2">
        <w:rPr>
          <w:rFonts w:ascii="Calibri" w:hAnsi="Calibri" w:cs="Calibri"/>
        </w:rPr>
        <w:t>at dit concreet inhoudt</w:t>
      </w:r>
      <w:r w:rsidR="00697FDC">
        <w:rPr>
          <w:rFonts w:ascii="Calibri" w:eastAsia="Calibri" w:hAnsi="Calibri" w:cs="Calibri"/>
        </w:rPr>
        <w:t>,</w:t>
      </w:r>
      <w:r w:rsidR="00AB082C">
        <w:rPr>
          <w:rFonts w:ascii="Calibri" w:eastAsia="Calibri" w:hAnsi="Calibri" w:cs="Calibri"/>
        </w:rPr>
        <w:t xml:space="preserve"> </w:t>
      </w:r>
      <w:r w:rsidR="00123E19">
        <w:rPr>
          <w:rFonts w:ascii="Calibri" w:eastAsia="Calibri" w:hAnsi="Calibri" w:cs="Calibri"/>
        </w:rPr>
        <w:t>wordt niet gesteld</w:t>
      </w:r>
      <w:r w:rsidR="00AB082C">
        <w:rPr>
          <w:rFonts w:ascii="Calibri" w:eastAsia="Calibri" w:hAnsi="Calibri" w:cs="Calibri"/>
        </w:rPr>
        <w:t xml:space="preserve">. </w:t>
      </w:r>
      <w:r w:rsidR="0094342C">
        <w:rPr>
          <w:rFonts w:ascii="Calibri" w:eastAsia="Calibri" w:hAnsi="Calibri" w:cs="Calibri"/>
        </w:rPr>
        <w:t>Ontmoedigen gaat hoe dan ook m</w:t>
      </w:r>
      <w:r w:rsidR="003274AC">
        <w:rPr>
          <w:rFonts w:ascii="Calibri" w:eastAsia="Calibri" w:hAnsi="Calibri" w:cs="Calibri"/>
        </w:rPr>
        <w:t>i</w:t>
      </w:r>
      <w:r w:rsidR="0094342C">
        <w:rPr>
          <w:rFonts w:ascii="Calibri" w:eastAsia="Calibri" w:hAnsi="Calibri" w:cs="Calibri"/>
        </w:rPr>
        <w:t>nder ver dan verzoeken.</w:t>
      </w:r>
    </w:p>
    <w:p w14:paraId="71BEED62" w14:textId="63AE6781" w:rsidR="00550625" w:rsidRDefault="006C6EC4" w:rsidP="00724FEF">
      <w:pPr>
        <w:jc w:val="both"/>
        <w:rPr>
          <w:rFonts w:ascii="Calibri" w:eastAsia="Calibri" w:hAnsi="Calibri" w:cs="Calibri"/>
        </w:rPr>
      </w:pPr>
      <w:r w:rsidRPr="008E7200">
        <w:rPr>
          <w:rFonts w:ascii="Calibri" w:eastAsia="Calibri" w:hAnsi="Calibri" w:cs="Calibri"/>
        </w:rPr>
        <w:t xml:space="preserve">De Staat kan </w:t>
      </w:r>
      <w:r w:rsidR="003A5D98" w:rsidRPr="008E7200">
        <w:rPr>
          <w:rFonts w:ascii="Calibri" w:eastAsia="Calibri" w:hAnsi="Calibri" w:cs="Calibri"/>
        </w:rPr>
        <w:t xml:space="preserve">zelfstandig voorwaarden </w:t>
      </w:r>
      <w:r w:rsidRPr="008E7200">
        <w:rPr>
          <w:rFonts w:ascii="Calibri" w:eastAsia="Calibri" w:hAnsi="Calibri" w:cs="Calibri"/>
        </w:rPr>
        <w:t xml:space="preserve">verbinden aan </w:t>
      </w:r>
      <w:r w:rsidR="003A5D98" w:rsidRPr="008E7200">
        <w:rPr>
          <w:rFonts w:ascii="Calibri" w:eastAsia="Calibri" w:hAnsi="Calibri" w:cs="Calibri"/>
        </w:rPr>
        <w:t xml:space="preserve">het gebruik </w:t>
      </w:r>
      <w:r w:rsidRPr="008E7200">
        <w:rPr>
          <w:rFonts w:ascii="Calibri" w:eastAsia="Calibri" w:hAnsi="Calibri" w:cs="Calibri"/>
        </w:rPr>
        <w:t>van de steun die het verleen</w:t>
      </w:r>
      <w:r w:rsidR="008E7200">
        <w:rPr>
          <w:rFonts w:ascii="Calibri" w:eastAsia="Calibri" w:hAnsi="Calibri" w:cs="Calibri"/>
        </w:rPr>
        <w:t>t</w:t>
      </w:r>
      <w:r w:rsidRPr="008E7200">
        <w:rPr>
          <w:rFonts w:ascii="Calibri" w:eastAsia="Calibri" w:hAnsi="Calibri" w:cs="Calibri"/>
        </w:rPr>
        <w:t>. Dit heeft de Staat ook gedaan do</w:t>
      </w:r>
      <w:r w:rsidRPr="006C4F7F">
        <w:rPr>
          <w:rFonts w:ascii="Calibri" w:eastAsia="Calibri" w:hAnsi="Calibri" w:cs="Calibri"/>
        </w:rPr>
        <w:t>or te verplichten dat de F-16’s in lijn met het internationaal recht moet</w:t>
      </w:r>
      <w:r w:rsidR="009B1F15" w:rsidRPr="006C4F7F">
        <w:rPr>
          <w:rFonts w:ascii="Calibri" w:eastAsia="Calibri" w:hAnsi="Calibri" w:cs="Calibri"/>
        </w:rPr>
        <w:t>en</w:t>
      </w:r>
      <w:r w:rsidRPr="006C4F7F">
        <w:rPr>
          <w:rFonts w:ascii="Calibri" w:eastAsia="Calibri" w:hAnsi="Calibri" w:cs="Calibri"/>
        </w:rPr>
        <w:t xml:space="preserve"> worden gebruikt door Oekraïne. </w:t>
      </w:r>
      <w:r w:rsidR="003A5D98" w:rsidRPr="006C4F7F">
        <w:rPr>
          <w:rFonts w:ascii="Calibri" w:eastAsia="Calibri" w:hAnsi="Calibri" w:cs="Calibri"/>
        </w:rPr>
        <w:t xml:space="preserve">Het nalaten om </w:t>
      </w:r>
      <w:r w:rsidR="00D500E6" w:rsidRPr="006C4F7F">
        <w:rPr>
          <w:rFonts w:ascii="Calibri" w:eastAsia="Calibri" w:hAnsi="Calibri" w:cs="Calibri"/>
        </w:rPr>
        <w:t xml:space="preserve">een </w:t>
      </w:r>
      <w:r w:rsidR="004C2C77" w:rsidRPr="006C4F7F">
        <w:rPr>
          <w:rFonts w:ascii="Calibri" w:eastAsia="Calibri" w:hAnsi="Calibri" w:cs="Calibri"/>
        </w:rPr>
        <w:t xml:space="preserve">meer specifieke </w:t>
      </w:r>
      <w:r w:rsidR="003A5D98" w:rsidRPr="006C4F7F">
        <w:rPr>
          <w:rFonts w:ascii="Calibri" w:eastAsia="Calibri" w:hAnsi="Calibri" w:cs="Calibri"/>
        </w:rPr>
        <w:t xml:space="preserve">voorwaarde te verbinden aan gebruik </w:t>
      </w:r>
      <w:r w:rsidR="00D500E6" w:rsidRPr="006C4F7F">
        <w:rPr>
          <w:rFonts w:ascii="Calibri" w:eastAsia="Calibri" w:hAnsi="Calibri" w:cs="Calibri"/>
        </w:rPr>
        <w:t>van de F-16’s</w:t>
      </w:r>
      <w:r w:rsidR="009B1F15" w:rsidRPr="006C4F7F">
        <w:rPr>
          <w:rFonts w:ascii="Calibri" w:eastAsia="Calibri" w:hAnsi="Calibri" w:cs="Calibri"/>
        </w:rPr>
        <w:t>, inhoudende</w:t>
      </w:r>
      <w:r w:rsidR="00D500E6" w:rsidRPr="006C4F7F">
        <w:rPr>
          <w:rFonts w:ascii="Calibri" w:eastAsia="Calibri" w:hAnsi="Calibri" w:cs="Calibri"/>
        </w:rPr>
        <w:t xml:space="preserve"> </w:t>
      </w:r>
      <w:r w:rsidR="009C071E" w:rsidRPr="006C4F7F">
        <w:rPr>
          <w:rFonts w:ascii="Calibri" w:eastAsia="Calibri" w:hAnsi="Calibri" w:cs="Calibri"/>
        </w:rPr>
        <w:t>dat de F-16’s niet voor de inzet van clustermunitie worden gebruikt</w:t>
      </w:r>
      <w:r w:rsidR="00AE5AC7">
        <w:rPr>
          <w:rFonts w:ascii="Calibri" w:eastAsia="Calibri" w:hAnsi="Calibri" w:cs="Calibri"/>
        </w:rPr>
        <w:t>,</w:t>
      </w:r>
      <w:r w:rsidR="003A5D98" w:rsidRPr="008E7200">
        <w:rPr>
          <w:rFonts w:ascii="Calibri" w:eastAsia="Calibri" w:hAnsi="Calibri" w:cs="Calibri"/>
        </w:rPr>
        <w:t xml:space="preserve"> maakt </w:t>
      </w:r>
      <w:r w:rsidR="00AE5AC7">
        <w:rPr>
          <w:rFonts w:ascii="Calibri" w:eastAsia="Calibri" w:hAnsi="Calibri" w:cs="Calibri"/>
        </w:rPr>
        <w:t xml:space="preserve">dat </w:t>
      </w:r>
      <w:r w:rsidR="003A5D98" w:rsidRPr="008E7200">
        <w:rPr>
          <w:rFonts w:ascii="Calibri" w:eastAsia="Calibri" w:hAnsi="Calibri" w:cs="Calibri"/>
        </w:rPr>
        <w:t>de Staat zich niet tot het uiterste heeft inges</w:t>
      </w:r>
      <w:r w:rsidR="003A5D98">
        <w:rPr>
          <w:rFonts w:ascii="Calibri" w:eastAsia="Calibri" w:hAnsi="Calibri" w:cs="Calibri"/>
        </w:rPr>
        <w:t xml:space="preserve">pannen om </w:t>
      </w:r>
      <w:r w:rsidR="008A6108">
        <w:rPr>
          <w:rFonts w:ascii="Calibri" w:eastAsia="Calibri" w:hAnsi="Calibri" w:cs="Calibri"/>
        </w:rPr>
        <w:t xml:space="preserve">Oekraïne </w:t>
      </w:r>
      <w:r w:rsidR="007E51C5">
        <w:rPr>
          <w:rFonts w:ascii="Calibri" w:eastAsia="Calibri" w:hAnsi="Calibri" w:cs="Calibri"/>
        </w:rPr>
        <w:t>daar</w:t>
      </w:r>
      <w:r w:rsidR="008A6108">
        <w:rPr>
          <w:rFonts w:ascii="Calibri" w:eastAsia="Calibri" w:hAnsi="Calibri" w:cs="Calibri"/>
        </w:rPr>
        <w:t xml:space="preserve">van </w:t>
      </w:r>
      <w:r w:rsidR="003A5D98">
        <w:rPr>
          <w:rFonts w:ascii="Calibri" w:eastAsia="Calibri" w:hAnsi="Calibri" w:cs="Calibri"/>
        </w:rPr>
        <w:t>te weerhouden</w:t>
      </w:r>
      <w:r w:rsidR="008A6108">
        <w:rPr>
          <w:rFonts w:ascii="Calibri" w:eastAsia="Calibri" w:hAnsi="Calibri" w:cs="Calibri"/>
        </w:rPr>
        <w:t xml:space="preserve">. </w:t>
      </w:r>
      <w:r w:rsidR="00EB3E1E">
        <w:rPr>
          <w:rFonts w:ascii="Calibri" w:eastAsia="Calibri" w:hAnsi="Calibri" w:cs="Calibri"/>
        </w:rPr>
        <w:t xml:space="preserve">Nergens blijkt </w:t>
      </w:r>
      <w:r w:rsidR="00620E10">
        <w:rPr>
          <w:rFonts w:ascii="Calibri" w:eastAsia="Calibri" w:hAnsi="Calibri" w:cs="Calibri"/>
        </w:rPr>
        <w:t xml:space="preserve">uit </w:t>
      </w:r>
      <w:r w:rsidR="00EB3E1E">
        <w:rPr>
          <w:rFonts w:ascii="Calibri" w:eastAsia="Calibri" w:hAnsi="Calibri" w:cs="Calibri"/>
        </w:rPr>
        <w:t xml:space="preserve">dat de Staat deze voorwaarde niet heeft kunnen stellen of dat dit niet gevergd </w:t>
      </w:r>
      <w:r w:rsidR="00B76EDD">
        <w:rPr>
          <w:rFonts w:ascii="Calibri" w:eastAsia="Calibri" w:hAnsi="Calibri" w:cs="Calibri"/>
        </w:rPr>
        <w:t xml:space="preserve">kon of </w:t>
      </w:r>
      <w:r w:rsidR="00EB3E1E">
        <w:rPr>
          <w:rFonts w:ascii="Calibri" w:eastAsia="Calibri" w:hAnsi="Calibri" w:cs="Calibri"/>
        </w:rPr>
        <w:t>kan worden van de Staat.</w:t>
      </w:r>
      <w:r w:rsidR="00111262">
        <w:rPr>
          <w:rFonts w:ascii="Calibri" w:eastAsia="Calibri" w:hAnsi="Calibri" w:cs="Calibri"/>
        </w:rPr>
        <w:t xml:space="preserve"> </w:t>
      </w:r>
      <w:r w:rsidR="00550625">
        <w:t xml:space="preserve">Dat aan geleverde goederen </w:t>
      </w:r>
      <w:r w:rsidR="006769F9">
        <w:t xml:space="preserve">andersoortige </w:t>
      </w:r>
      <w:r w:rsidR="00550625">
        <w:t xml:space="preserve">beperkingen kunnen worden gesteld is een bekende </w:t>
      </w:r>
      <w:r w:rsidR="006769F9">
        <w:t>staten</w:t>
      </w:r>
      <w:r w:rsidR="00550625">
        <w:t xml:space="preserve">praktijk, ook in het Oekraïne conflict. Zo </w:t>
      </w:r>
      <w:r w:rsidR="006769F9">
        <w:t xml:space="preserve">werden door meerdere landen voorwaarden verbonden aan het gebruik van </w:t>
      </w:r>
      <w:r w:rsidR="00550625">
        <w:t>bepaalde type raketten</w:t>
      </w:r>
      <w:r w:rsidR="006769F9">
        <w:t xml:space="preserve"> dat deze niet tegen</w:t>
      </w:r>
      <w:r w:rsidR="00550625">
        <w:t xml:space="preserve"> Russisch territorium </w:t>
      </w:r>
      <w:r w:rsidR="006769F9">
        <w:t xml:space="preserve">mochten </w:t>
      </w:r>
      <w:r w:rsidR="00550625">
        <w:t>worden ingezet.</w:t>
      </w:r>
    </w:p>
    <w:p w14:paraId="22AE8B48" w14:textId="248E720F" w:rsidR="00550625" w:rsidRDefault="006769F9" w:rsidP="00724FEF">
      <w:pPr>
        <w:jc w:val="both"/>
        <w:rPr>
          <w:rFonts w:ascii="Calibri" w:eastAsia="Calibri" w:hAnsi="Calibri" w:cs="Calibri"/>
        </w:rPr>
      </w:pPr>
      <w:r>
        <w:rPr>
          <w:rFonts w:ascii="Calibri" w:eastAsia="Calibri" w:hAnsi="Calibri" w:cs="Calibri"/>
        </w:rPr>
        <w:t xml:space="preserve">In de loop van dit advies is ook de vraag opgekomen of de Staat in het kader van het </w:t>
      </w:r>
      <w:r w:rsidR="00882C3E">
        <w:rPr>
          <w:rFonts w:ascii="Calibri" w:eastAsia="Calibri" w:hAnsi="Calibri" w:cs="Calibri"/>
        </w:rPr>
        <w:t>t</w:t>
      </w:r>
      <w:r w:rsidR="00882C3E" w:rsidRPr="00882C3E">
        <w:rPr>
          <w:rFonts w:ascii="Calibri" w:eastAsia="Calibri" w:hAnsi="Calibri" w:cs="Calibri"/>
        </w:rPr>
        <w:t>rainen van militaire</w:t>
      </w:r>
      <w:r>
        <w:rPr>
          <w:rFonts w:ascii="Calibri" w:eastAsia="Calibri" w:hAnsi="Calibri" w:cs="Calibri"/>
        </w:rPr>
        <w:t xml:space="preserve">n hen ook traint in het </w:t>
      </w:r>
      <w:r w:rsidR="00882C3E" w:rsidRPr="00882C3E">
        <w:rPr>
          <w:rFonts w:ascii="Calibri" w:eastAsia="Calibri" w:hAnsi="Calibri" w:cs="Calibri"/>
        </w:rPr>
        <w:t>gebruik van clustermunitie</w:t>
      </w:r>
      <w:r>
        <w:rPr>
          <w:rFonts w:ascii="Calibri" w:eastAsia="Calibri" w:hAnsi="Calibri" w:cs="Calibri"/>
        </w:rPr>
        <w:t xml:space="preserve">. Dit zou ook </w:t>
      </w:r>
      <w:r w:rsidR="00766206">
        <w:rPr>
          <w:rFonts w:ascii="Calibri" w:eastAsia="Calibri" w:hAnsi="Calibri" w:cs="Calibri"/>
        </w:rPr>
        <w:t>in strijd</w:t>
      </w:r>
      <w:r w:rsidR="00EB099B">
        <w:rPr>
          <w:rFonts w:ascii="Calibri" w:eastAsia="Calibri" w:hAnsi="Calibri" w:cs="Calibri"/>
        </w:rPr>
        <w:t xml:space="preserve"> kunnen</w:t>
      </w:r>
      <w:r w:rsidR="00766206">
        <w:rPr>
          <w:rFonts w:ascii="Calibri" w:eastAsia="Calibri" w:hAnsi="Calibri" w:cs="Calibri"/>
        </w:rPr>
        <w:t xml:space="preserve"> zijn met de inspanningsverplichting van artikel 21 lid 2. </w:t>
      </w:r>
      <w:r w:rsidR="00EB099B">
        <w:rPr>
          <w:rFonts w:ascii="Calibri" w:eastAsia="Calibri" w:hAnsi="Calibri" w:cs="Calibri"/>
        </w:rPr>
        <w:t>Nader onderzoek hiernaar valt buiten het bestek van dit advies.</w:t>
      </w:r>
    </w:p>
    <w:p w14:paraId="464EAA46" w14:textId="77777777" w:rsidR="00766206" w:rsidRPr="00494E8D" w:rsidRDefault="00766206" w:rsidP="00724FEF">
      <w:pPr>
        <w:jc w:val="both"/>
        <w:rPr>
          <w:rFonts w:ascii="Calibri" w:eastAsia="Calibri" w:hAnsi="Calibri" w:cs="Calibri"/>
        </w:rPr>
      </w:pPr>
    </w:p>
    <w:p w14:paraId="3CE2B3F6" w14:textId="5F033AEB" w:rsidR="00E64EB8" w:rsidRPr="00494E8D" w:rsidRDefault="00E64EB8" w:rsidP="00724FEF">
      <w:pPr>
        <w:pStyle w:val="Kop2"/>
        <w:jc w:val="both"/>
        <w:rPr>
          <w:rFonts w:ascii="Calibri" w:eastAsia="Calibri" w:hAnsi="Calibri" w:cs="Calibri"/>
        </w:rPr>
      </w:pPr>
      <w:bookmarkStart w:id="17" w:name="_Toc185491852"/>
      <w:r w:rsidRPr="00494E8D">
        <w:lastRenderedPageBreak/>
        <w:t>Vraag 3 – Def</w:t>
      </w:r>
      <w:r>
        <w:t>i</w:t>
      </w:r>
      <w:r w:rsidRPr="00494E8D">
        <w:t>nitie</w:t>
      </w:r>
      <w:r>
        <w:t xml:space="preserve"> ‘</w:t>
      </w:r>
      <w:r w:rsidRPr="00494E8D">
        <w:t>niettegenstaande</w:t>
      </w:r>
      <w:r>
        <w:t>’</w:t>
      </w:r>
      <w:bookmarkEnd w:id="17"/>
      <w:r w:rsidRPr="00494E8D">
        <w:t xml:space="preserve"> </w:t>
      </w:r>
    </w:p>
    <w:p w14:paraId="14855F2C" w14:textId="77777777" w:rsidR="00E64EB8" w:rsidRDefault="00E64EB8" w:rsidP="00724FEF">
      <w:pPr>
        <w:jc w:val="both"/>
      </w:pPr>
      <w:r>
        <w:t>De derde v</w:t>
      </w:r>
      <w:r w:rsidRPr="00494E8D">
        <w:t xml:space="preserve">raag luidt: </w:t>
      </w:r>
    </w:p>
    <w:p w14:paraId="5BA0E04B" w14:textId="77777777" w:rsidR="00E64EB8" w:rsidRPr="00494E8D" w:rsidRDefault="00E64EB8" w:rsidP="00724FEF">
      <w:pPr>
        <w:ind w:firstLine="708"/>
        <w:jc w:val="both"/>
      </w:pPr>
      <w:r w:rsidRPr="00494E8D">
        <w:t>“Wat betekent de term ‘niettegenstaande’ in het derde lid van artikel 21?”</w:t>
      </w:r>
    </w:p>
    <w:p w14:paraId="189D1C80" w14:textId="1C5AD26C" w:rsidR="00382E85" w:rsidRDefault="00E36DB0" w:rsidP="00724FEF">
      <w:pPr>
        <w:jc w:val="both"/>
        <w:rPr>
          <w:rFonts w:ascii="Calibri" w:eastAsia="Calibri" w:hAnsi="Calibri" w:cs="Calibri"/>
        </w:rPr>
      </w:pPr>
      <w:r>
        <w:rPr>
          <w:rFonts w:ascii="Calibri" w:eastAsia="Calibri" w:hAnsi="Calibri" w:cs="Calibri"/>
        </w:rPr>
        <w:t>Zoals hierboven al aan bod is gekomen</w:t>
      </w:r>
      <w:r w:rsidR="005072BD">
        <w:rPr>
          <w:rFonts w:ascii="Calibri" w:eastAsia="Calibri" w:hAnsi="Calibri" w:cs="Calibri"/>
        </w:rPr>
        <w:t>,</w:t>
      </w:r>
      <w:r>
        <w:rPr>
          <w:rFonts w:ascii="Calibri" w:eastAsia="Calibri" w:hAnsi="Calibri" w:cs="Calibri"/>
        </w:rPr>
        <w:t xml:space="preserve"> wordt m</w:t>
      </w:r>
      <w:r w:rsidR="00382E85">
        <w:rPr>
          <w:rFonts w:ascii="Calibri" w:eastAsia="Calibri" w:hAnsi="Calibri" w:cs="Calibri"/>
        </w:rPr>
        <w:t xml:space="preserve">et het </w:t>
      </w:r>
      <w:r w:rsidR="00382E85" w:rsidRPr="00494E8D">
        <w:rPr>
          <w:rFonts w:ascii="Calibri" w:eastAsia="Calibri" w:hAnsi="Calibri" w:cs="Calibri"/>
        </w:rPr>
        <w:t xml:space="preserve">woord “niettegenstaande” </w:t>
      </w:r>
      <w:r w:rsidR="00382E85">
        <w:rPr>
          <w:rFonts w:ascii="Calibri" w:eastAsia="Calibri" w:hAnsi="Calibri" w:cs="Calibri"/>
        </w:rPr>
        <w:t>aan</w:t>
      </w:r>
      <w:r w:rsidR="00F56277">
        <w:rPr>
          <w:rFonts w:ascii="Calibri" w:eastAsia="Calibri" w:hAnsi="Calibri" w:cs="Calibri"/>
        </w:rPr>
        <w:t xml:space="preserve">gegeven dat </w:t>
      </w:r>
      <w:r w:rsidR="00540687">
        <w:rPr>
          <w:rFonts w:ascii="Calibri" w:eastAsia="Calibri" w:hAnsi="Calibri" w:cs="Calibri"/>
        </w:rPr>
        <w:t>binnen</w:t>
      </w:r>
      <w:r w:rsidR="00113351">
        <w:rPr>
          <w:rFonts w:ascii="Calibri" w:eastAsia="Calibri" w:hAnsi="Calibri" w:cs="Calibri"/>
        </w:rPr>
        <w:t xml:space="preserve"> </w:t>
      </w:r>
      <w:r w:rsidR="00F56277">
        <w:rPr>
          <w:rFonts w:ascii="Calibri" w:eastAsia="Calibri" w:hAnsi="Calibri" w:cs="Calibri"/>
        </w:rPr>
        <w:t xml:space="preserve">de absolute formulering van de verboden in artikel 1 </w:t>
      </w:r>
      <w:r w:rsidR="00113351">
        <w:rPr>
          <w:rFonts w:ascii="Calibri" w:eastAsia="Calibri" w:hAnsi="Calibri" w:cs="Calibri"/>
        </w:rPr>
        <w:t xml:space="preserve">er situaties zijn </w:t>
      </w:r>
      <w:r w:rsidR="003D4C2E">
        <w:rPr>
          <w:rFonts w:ascii="Calibri" w:eastAsia="Calibri" w:hAnsi="Calibri" w:cs="Calibri"/>
        </w:rPr>
        <w:t>waarbij samenwerking op militair gebied met een niet-verdragsstaat die mogelijk deelneemt aan verboden activiteiten</w:t>
      </w:r>
      <w:r w:rsidR="00CC5532">
        <w:rPr>
          <w:rFonts w:ascii="Calibri" w:eastAsia="Calibri" w:hAnsi="Calibri" w:cs="Calibri"/>
        </w:rPr>
        <w:t>,</w:t>
      </w:r>
      <w:r w:rsidR="003D4C2E">
        <w:rPr>
          <w:rFonts w:ascii="Calibri" w:eastAsia="Calibri" w:hAnsi="Calibri" w:cs="Calibri"/>
        </w:rPr>
        <w:t xml:space="preserve"> is toegestaan</w:t>
      </w:r>
      <w:r w:rsidR="00113351">
        <w:rPr>
          <w:rFonts w:ascii="Calibri" w:eastAsia="Calibri" w:hAnsi="Calibri" w:cs="Calibri"/>
        </w:rPr>
        <w:t xml:space="preserve">. Het </w:t>
      </w:r>
      <w:r w:rsidR="00382E85">
        <w:rPr>
          <w:rFonts w:ascii="Calibri" w:eastAsia="Calibri" w:hAnsi="Calibri" w:cs="Calibri"/>
        </w:rPr>
        <w:t>geeft</w:t>
      </w:r>
      <w:r w:rsidR="00382E85" w:rsidRPr="00494E8D">
        <w:rPr>
          <w:rFonts w:ascii="Calibri" w:eastAsia="Calibri" w:hAnsi="Calibri" w:cs="Calibri"/>
        </w:rPr>
        <w:t xml:space="preserve"> aan dat art</w:t>
      </w:r>
      <w:r w:rsidR="00382E85">
        <w:rPr>
          <w:rFonts w:ascii="Calibri" w:eastAsia="Calibri" w:hAnsi="Calibri" w:cs="Calibri"/>
        </w:rPr>
        <w:t>ikel</w:t>
      </w:r>
      <w:r w:rsidR="00382E85" w:rsidRPr="00494E8D">
        <w:rPr>
          <w:rFonts w:ascii="Calibri" w:eastAsia="Calibri" w:hAnsi="Calibri" w:cs="Calibri"/>
        </w:rPr>
        <w:t xml:space="preserve"> 21 lid 3 </w:t>
      </w:r>
      <w:r w:rsidR="00AF70B3">
        <w:rPr>
          <w:rFonts w:ascii="Calibri" w:eastAsia="Calibri" w:hAnsi="Calibri" w:cs="Calibri"/>
        </w:rPr>
        <w:t>past binnen de ruimte die uit de</w:t>
      </w:r>
      <w:r w:rsidR="00382E85">
        <w:rPr>
          <w:rFonts w:ascii="Calibri" w:eastAsia="Calibri" w:hAnsi="Calibri" w:cs="Calibri"/>
        </w:rPr>
        <w:t xml:space="preserve"> hoofdverplichting van </w:t>
      </w:r>
      <w:r w:rsidR="00382E85" w:rsidRPr="00494E8D">
        <w:rPr>
          <w:rFonts w:ascii="Calibri" w:eastAsia="Calibri" w:hAnsi="Calibri" w:cs="Calibri"/>
        </w:rPr>
        <w:t>art</w:t>
      </w:r>
      <w:r w:rsidR="00382E85">
        <w:rPr>
          <w:rFonts w:ascii="Calibri" w:eastAsia="Calibri" w:hAnsi="Calibri" w:cs="Calibri"/>
        </w:rPr>
        <w:t>ikel</w:t>
      </w:r>
      <w:r w:rsidR="00382E85" w:rsidRPr="00494E8D">
        <w:rPr>
          <w:rFonts w:ascii="Calibri" w:eastAsia="Calibri" w:hAnsi="Calibri" w:cs="Calibri"/>
        </w:rPr>
        <w:t xml:space="preserve"> 1 lid 1 sub c</w:t>
      </w:r>
      <w:r w:rsidR="00AF70B3">
        <w:rPr>
          <w:rFonts w:ascii="Calibri" w:eastAsia="Calibri" w:hAnsi="Calibri" w:cs="Calibri"/>
        </w:rPr>
        <w:t xml:space="preserve"> volgt</w:t>
      </w:r>
      <w:r w:rsidR="00382E85" w:rsidRPr="00494E8D">
        <w:rPr>
          <w:rFonts w:ascii="Calibri" w:eastAsia="Calibri" w:hAnsi="Calibri" w:cs="Calibri"/>
        </w:rPr>
        <w:t>.</w:t>
      </w:r>
      <w:r w:rsidR="00AF70B3">
        <w:rPr>
          <w:rFonts w:ascii="Calibri" w:eastAsia="Calibri" w:hAnsi="Calibri" w:cs="Calibri"/>
        </w:rPr>
        <w:t xml:space="preserve"> </w:t>
      </w:r>
    </w:p>
    <w:p w14:paraId="4846D854" w14:textId="21B1140A" w:rsidR="00BF2D6A" w:rsidRDefault="00BF2D6A" w:rsidP="00724FEF">
      <w:pPr>
        <w:ind w:left="708"/>
        <w:jc w:val="both"/>
        <w:rPr>
          <w:rFonts w:ascii="Calibri" w:eastAsia="Calibri" w:hAnsi="Calibri" w:cs="Calibri"/>
          <w:lang w:val="en-US"/>
        </w:rPr>
      </w:pPr>
      <w:r w:rsidRPr="0007005C">
        <w:rPr>
          <w:rFonts w:ascii="Calibri" w:eastAsia="Calibri" w:hAnsi="Calibri" w:cs="Calibri"/>
          <w:lang w:val="en-US"/>
        </w:rPr>
        <w:t>“Where, however, Article 1 is specific with regard to what obligations are incumbent on a State Party, paragraph 3 of Article 21 does not list any speci</w:t>
      </w:r>
      <w:r w:rsidR="00D23D49" w:rsidRPr="0007005C">
        <w:rPr>
          <w:rFonts w:ascii="Calibri" w:eastAsia="Calibri" w:hAnsi="Calibri" w:cs="Calibri"/>
          <w:lang w:val="en-US"/>
        </w:rPr>
        <w:t>fi</w:t>
      </w:r>
      <w:r w:rsidRPr="0007005C">
        <w:rPr>
          <w:rFonts w:ascii="Calibri" w:eastAsia="Calibri" w:hAnsi="Calibri" w:cs="Calibri"/>
          <w:lang w:val="en-US"/>
        </w:rPr>
        <w:t>c activities that a State Party may engage in despite its</w:t>
      </w:r>
      <w:r w:rsidR="00D23D49" w:rsidRPr="0007005C">
        <w:rPr>
          <w:rFonts w:ascii="Calibri" w:eastAsia="Calibri" w:hAnsi="Calibri" w:cs="Calibri"/>
          <w:lang w:val="en-US"/>
        </w:rPr>
        <w:t xml:space="preserve"> </w:t>
      </w:r>
      <w:r w:rsidRPr="0007005C">
        <w:rPr>
          <w:rFonts w:ascii="Calibri" w:eastAsia="Calibri" w:hAnsi="Calibri" w:cs="Calibri"/>
          <w:lang w:val="en-US"/>
        </w:rPr>
        <w:t>obligations under Article 1. Thus, paragraph 3 modi</w:t>
      </w:r>
      <w:r w:rsidR="00D23D49" w:rsidRPr="0007005C">
        <w:rPr>
          <w:rFonts w:ascii="Calibri" w:eastAsia="Calibri" w:hAnsi="Calibri" w:cs="Calibri"/>
          <w:lang w:val="en-US"/>
        </w:rPr>
        <w:t>fi</w:t>
      </w:r>
      <w:r w:rsidRPr="0007005C">
        <w:rPr>
          <w:rFonts w:ascii="Calibri" w:eastAsia="Calibri" w:hAnsi="Calibri" w:cs="Calibri"/>
          <w:lang w:val="en-US"/>
        </w:rPr>
        <w:t>es the scope of Article 1 where issues of interoperability</w:t>
      </w:r>
      <w:r w:rsidR="00D23D49" w:rsidRPr="0007005C">
        <w:rPr>
          <w:rFonts w:ascii="Calibri" w:eastAsia="Calibri" w:hAnsi="Calibri" w:cs="Calibri"/>
          <w:lang w:val="en-US"/>
        </w:rPr>
        <w:t xml:space="preserve"> </w:t>
      </w:r>
      <w:r w:rsidRPr="0007005C">
        <w:rPr>
          <w:rFonts w:ascii="Calibri" w:eastAsia="Calibri" w:hAnsi="Calibri" w:cs="Calibri"/>
          <w:lang w:val="en-US"/>
        </w:rPr>
        <w:t>are at stake without further de</w:t>
      </w:r>
      <w:r w:rsidR="001B3A68">
        <w:rPr>
          <w:rFonts w:ascii="Calibri" w:eastAsia="Calibri" w:hAnsi="Calibri" w:cs="Calibri"/>
          <w:lang w:val="en-US"/>
        </w:rPr>
        <w:t>fi</w:t>
      </w:r>
      <w:r w:rsidRPr="0007005C">
        <w:rPr>
          <w:rFonts w:ascii="Calibri" w:eastAsia="Calibri" w:hAnsi="Calibri" w:cs="Calibri"/>
          <w:lang w:val="en-US"/>
        </w:rPr>
        <w:t>ning its scope beyond the words ‘may engage in military cooperation and</w:t>
      </w:r>
      <w:r w:rsidR="00D23D49" w:rsidRPr="0007005C">
        <w:rPr>
          <w:rFonts w:ascii="Calibri" w:eastAsia="Calibri" w:hAnsi="Calibri" w:cs="Calibri"/>
          <w:lang w:val="en-US"/>
        </w:rPr>
        <w:t xml:space="preserve"> operations’.”</w:t>
      </w:r>
      <w:r w:rsidR="00D23D49">
        <w:rPr>
          <w:rStyle w:val="Voetnootmarkering"/>
          <w:rFonts w:ascii="Calibri" w:eastAsia="Calibri" w:hAnsi="Calibri"/>
        </w:rPr>
        <w:footnoteReference w:id="71"/>
      </w:r>
    </w:p>
    <w:p w14:paraId="7FAB9A4D" w14:textId="7100E425" w:rsidR="00AF70B3" w:rsidRPr="00C92AF8" w:rsidRDefault="00AF70B3" w:rsidP="00724FEF">
      <w:pPr>
        <w:jc w:val="both"/>
        <w:rPr>
          <w:rFonts w:eastAsia="Calibri"/>
        </w:rPr>
      </w:pPr>
      <w:r w:rsidRPr="00C92AF8">
        <w:rPr>
          <w:rFonts w:ascii="Calibri" w:eastAsia="Calibri" w:hAnsi="Calibri" w:cs="Calibri"/>
        </w:rPr>
        <w:t xml:space="preserve">Het betekent niet dat </w:t>
      </w:r>
      <w:r w:rsidR="00046F71" w:rsidRPr="00C92AF8">
        <w:rPr>
          <w:rFonts w:ascii="Calibri" w:eastAsia="Calibri" w:hAnsi="Calibri" w:cs="Calibri"/>
        </w:rPr>
        <w:t>de verpl</w:t>
      </w:r>
      <w:r w:rsidR="00A35F78" w:rsidRPr="00C92AF8">
        <w:rPr>
          <w:rFonts w:ascii="Calibri" w:eastAsia="Calibri" w:hAnsi="Calibri" w:cs="Calibri"/>
        </w:rPr>
        <w:t>ic</w:t>
      </w:r>
      <w:r w:rsidR="00046F71" w:rsidRPr="00C92AF8">
        <w:rPr>
          <w:rFonts w:ascii="Calibri" w:eastAsia="Calibri" w:hAnsi="Calibri" w:cs="Calibri"/>
        </w:rPr>
        <w:t>htingen van</w:t>
      </w:r>
      <w:r w:rsidRPr="00C92AF8">
        <w:rPr>
          <w:rFonts w:ascii="Calibri" w:eastAsia="Calibri" w:hAnsi="Calibri" w:cs="Calibri"/>
        </w:rPr>
        <w:t xml:space="preserve"> </w:t>
      </w:r>
      <w:r w:rsidR="00046F71" w:rsidRPr="00C92AF8">
        <w:rPr>
          <w:rFonts w:ascii="Calibri" w:eastAsia="Calibri" w:hAnsi="Calibri" w:cs="Calibri"/>
        </w:rPr>
        <w:t xml:space="preserve">artikel 1 niet van toepassing zijn als artikel 21 lid 3 aan de orde is. </w:t>
      </w:r>
    </w:p>
    <w:p w14:paraId="390E5682" w14:textId="77777777" w:rsidR="00B139A5" w:rsidRPr="00C92AF8" w:rsidRDefault="00B139A5" w:rsidP="00724FEF">
      <w:pPr>
        <w:jc w:val="both"/>
        <w:rPr>
          <w:rFonts w:eastAsia="Calibri"/>
        </w:rPr>
      </w:pPr>
    </w:p>
    <w:p w14:paraId="23F346CD" w14:textId="19D821FD" w:rsidR="4D22874D" w:rsidRPr="00494E8D" w:rsidRDefault="12062CC6" w:rsidP="00724FEF">
      <w:pPr>
        <w:pStyle w:val="Kop2"/>
        <w:jc w:val="both"/>
        <w:rPr>
          <w:rFonts w:ascii="Calibri" w:eastAsia="Calibri" w:hAnsi="Calibri" w:cs="Calibri"/>
        </w:rPr>
      </w:pPr>
      <w:bookmarkStart w:id="18" w:name="_Toc185491853"/>
      <w:r w:rsidRPr="00494E8D">
        <w:t>Vraag 4</w:t>
      </w:r>
      <w:r w:rsidR="006B46D2">
        <w:t xml:space="preserve"> – </w:t>
      </w:r>
      <w:r w:rsidR="003944AA">
        <w:t>Geen v</w:t>
      </w:r>
      <w:r w:rsidR="006B46D2">
        <w:t>oorwaarde</w:t>
      </w:r>
      <w:r w:rsidR="00CE0DB4">
        <w:t xml:space="preserve">n </w:t>
      </w:r>
      <w:r w:rsidR="003944AA">
        <w:t>mogen stellen</w:t>
      </w:r>
      <w:bookmarkEnd w:id="18"/>
    </w:p>
    <w:p w14:paraId="1B4E7B65" w14:textId="71DCE798" w:rsidR="354459F1" w:rsidRPr="00494E8D" w:rsidRDefault="2694B01E" w:rsidP="00724FEF">
      <w:pPr>
        <w:pStyle w:val="Tekst"/>
        <w:numPr>
          <w:ilvl w:val="0"/>
          <w:numId w:val="0"/>
        </w:numPr>
        <w:jc w:val="both"/>
      </w:pPr>
      <w:r w:rsidRPr="00494E8D">
        <w:t xml:space="preserve">Vraag 4 </w:t>
      </w:r>
      <w:r w:rsidR="6990591A" w:rsidRPr="00494E8D">
        <w:t xml:space="preserve">heeft </w:t>
      </w:r>
      <w:r w:rsidR="3B7E4836" w:rsidRPr="00494E8D">
        <w:t xml:space="preserve">net als </w:t>
      </w:r>
      <w:r w:rsidR="0098785E">
        <w:t>v</w:t>
      </w:r>
      <w:r w:rsidR="3B7E4836" w:rsidRPr="00494E8D">
        <w:t xml:space="preserve">raag 3 </w:t>
      </w:r>
      <w:r w:rsidR="29780A6A" w:rsidRPr="00494E8D">
        <w:t xml:space="preserve">betrekking </w:t>
      </w:r>
      <w:r w:rsidR="3B7E4836" w:rsidRPr="00494E8D">
        <w:t xml:space="preserve">op artikel 21 lid 3 CCM en </w:t>
      </w:r>
      <w:r w:rsidRPr="00494E8D">
        <w:t>luidt:</w:t>
      </w:r>
    </w:p>
    <w:p w14:paraId="2F88FE5A" w14:textId="6F8E9AE7" w:rsidR="354459F1" w:rsidRDefault="2694B01E" w:rsidP="00724FEF">
      <w:pPr>
        <w:ind w:left="708"/>
        <w:jc w:val="both"/>
      </w:pPr>
      <w:r w:rsidRPr="00494E8D">
        <w:t>“Impliceert het recht dat Nederland aan artikel 21, derde lid ontleent om met Oekraïne militair samen te werken, dat Nederland, als zij militaire of financiële middelen die kunnen worden ingezet voor het gebruik van clustermunitie ter beschikking stelt aan Oekraïne, daaraan niet de voorwaarde mag verbinden dat die middelen niet voor het gebruik van clustermunitie mogen worden aangewend?”</w:t>
      </w:r>
    </w:p>
    <w:p w14:paraId="5EEF8572" w14:textId="1851DD59" w:rsidR="000C7C8E" w:rsidRPr="00494E8D" w:rsidRDefault="004A3647" w:rsidP="00724FEF">
      <w:pPr>
        <w:jc w:val="both"/>
        <w:rPr>
          <w:rFonts w:ascii="Calibri" w:eastAsia="Calibri" w:hAnsi="Calibri" w:cs="Calibri"/>
        </w:rPr>
      </w:pPr>
      <w:r>
        <w:t>Deze vraag moet ontkennend beantwoord worden. Voorop wordt gesteld d</w:t>
      </w:r>
      <w:r w:rsidR="00A66182">
        <w:t>a</w:t>
      </w:r>
      <w:r>
        <w:t>t a</w:t>
      </w:r>
      <w:r w:rsidR="00A66182">
        <w:t xml:space="preserve">rtikel 21 lid 3 geen recht geeft aan staten om op militair gebied samen te werken. </w:t>
      </w:r>
      <w:r w:rsidR="00074AA5">
        <w:t xml:space="preserve">Het biedt </w:t>
      </w:r>
      <w:r w:rsidR="0098785E">
        <w:t>hen enkel de mogelijkheid daartoe binnen de</w:t>
      </w:r>
      <w:r w:rsidR="00562DD5">
        <w:t xml:space="preserve"> reikwijdte van artikel 1 in situaties van interoperabiliteit (militaire samenwerking). </w:t>
      </w:r>
      <w:r w:rsidR="571FC6E6" w:rsidRPr="00494E8D">
        <w:rPr>
          <w:rFonts w:ascii="Calibri" w:eastAsia="Calibri" w:hAnsi="Calibri" w:cs="Calibri"/>
        </w:rPr>
        <w:t>Hier</w:t>
      </w:r>
      <w:r w:rsidR="002E1BD4">
        <w:rPr>
          <w:rFonts w:ascii="Calibri" w:eastAsia="Calibri" w:hAnsi="Calibri" w:cs="Calibri"/>
        </w:rPr>
        <w:t xml:space="preserve">uit vloeit dus ook geen verplichting voort dat </w:t>
      </w:r>
      <w:r w:rsidR="002E1BD4" w:rsidRPr="005A1AF0">
        <w:rPr>
          <w:rFonts w:ascii="Calibri" w:eastAsia="Calibri" w:hAnsi="Calibri" w:cs="Calibri"/>
          <w:u w:val="single"/>
        </w:rPr>
        <w:t>geen</w:t>
      </w:r>
      <w:r w:rsidR="002E1BD4">
        <w:rPr>
          <w:rFonts w:ascii="Calibri" w:eastAsia="Calibri" w:hAnsi="Calibri" w:cs="Calibri"/>
        </w:rPr>
        <w:t xml:space="preserve"> voorwaarden </w:t>
      </w:r>
      <w:r w:rsidR="005A1AF0">
        <w:rPr>
          <w:rFonts w:ascii="Calibri" w:eastAsia="Calibri" w:hAnsi="Calibri" w:cs="Calibri"/>
        </w:rPr>
        <w:t xml:space="preserve">zouden </w:t>
      </w:r>
      <w:r w:rsidR="002E1BD4">
        <w:rPr>
          <w:rFonts w:ascii="Calibri" w:eastAsia="Calibri" w:hAnsi="Calibri" w:cs="Calibri"/>
        </w:rPr>
        <w:t xml:space="preserve">mogen worden </w:t>
      </w:r>
      <w:r w:rsidR="00E70535" w:rsidRPr="00494E8D">
        <w:rPr>
          <w:rFonts w:ascii="Calibri" w:eastAsia="Calibri" w:hAnsi="Calibri" w:cs="Calibri"/>
        </w:rPr>
        <w:t>verb</w:t>
      </w:r>
      <w:r w:rsidR="002E1BD4">
        <w:rPr>
          <w:rFonts w:ascii="Calibri" w:eastAsia="Calibri" w:hAnsi="Calibri" w:cs="Calibri"/>
        </w:rPr>
        <w:t>o</w:t>
      </w:r>
      <w:r w:rsidR="00E70535" w:rsidRPr="00494E8D">
        <w:rPr>
          <w:rFonts w:ascii="Calibri" w:eastAsia="Calibri" w:hAnsi="Calibri" w:cs="Calibri"/>
        </w:rPr>
        <w:t>nden</w:t>
      </w:r>
      <w:r w:rsidR="571FC6E6" w:rsidRPr="00494E8D">
        <w:rPr>
          <w:rFonts w:ascii="Calibri" w:eastAsia="Calibri" w:hAnsi="Calibri" w:cs="Calibri"/>
        </w:rPr>
        <w:t xml:space="preserve"> aan de levering van wapensystemen die geschikt zijn voor het </w:t>
      </w:r>
      <w:r w:rsidR="002E1BD4">
        <w:rPr>
          <w:rFonts w:ascii="Calibri" w:eastAsia="Calibri" w:hAnsi="Calibri" w:cs="Calibri"/>
        </w:rPr>
        <w:t>afwerpen</w:t>
      </w:r>
      <w:r w:rsidR="571FC6E6" w:rsidRPr="00494E8D">
        <w:rPr>
          <w:rFonts w:ascii="Calibri" w:eastAsia="Calibri" w:hAnsi="Calibri" w:cs="Calibri"/>
        </w:rPr>
        <w:t xml:space="preserve"> van clustermunitie.</w:t>
      </w:r>
      <w:r w:rsidR="7ED94D38" w:rsidRPr="00494E8D">
        <w:rPr>
          <w:rFonts w:ascii="Calibri" w:eastAsia="Calibri" w:hAnsi="Calibri" w:cs="Calibri"/>
        </w:rPr>
        <w:t xml:space="preserve"> </w:t>
      </w:r>
      <w:r w:rsidR="000C7C8E">
        <w:rPr>
          <w:rFonts w:ascii="Calibri" w:eastAsia="Calibri" w:hAnsi="Calibri" w:cs="Calibri"/>
        </w:rPr>
        <w:t xml:space="preserve">Zoals hierboven is toegelicht bestaat die verplichting juist wel. </w:t>
      </w:r>
    </w:p>
    <w:p w14:paraId="5F2EE01E" w14:textId="07008D66" w:rsidR="32442647" w:rsidRPr="00494E8D" w:rsidRDefault="32442647" w:rsidP="00724FEF">
      <w:pPr>
        <w:spacing w:before="240" w:after="240"/>
        <w:jc w:val="both"/>
        <w:rPr>
          <w:rFonts w:ascii="Calibri" w:eastAsia="Calibri" w:hAnsi="Calibri" w:cs="Calibri"/>
        </w:rPr>
      </w:pPr>
    </w:p>
    <w:p w14:paraId="69145724" w14:textId="429102ED" w:rsidR="00E83B6E" w:rsidRPr="00E83B6E" w:rsidRDefault="008C22D5" w:rsidP="00724FEF">
      <w:pPr>
        <w:pStyle w:val="Kop1"/>
        <w:jc w:val="both"/>
        <w:rPr>
          <w:rFonts w:eastAsia="Calibri"/>
        </w:rPr>
      </w:pPr>
      <w:bookmarkStart w:id="19" w:name="_Toc185491854"/>
      <w:r>
        <w:t>Andere internationaal rechtelijke normen</w:t>
      </w:r>
      <w:bookmarkEnd w:id="19"/>
    </w:p>
    <w:p w14:paraId="798EF333" w14:textId="3B3D38AA" w:rsidR="008C22D5" w:rsidRDefault="008C22D5" w:rsidP="00724FEF">
      <w:pPr>
        <w:pStyle w:val="Kop2"/>
        <w:jc w:val="both"/>
      </w:pPr>
      <w:bookmarkStart w:id="20" w:name="_Toc185491855"/>
      <w:r>
        <w:t>Introductie</w:t>
      </w:r>
      <w:bookmarkEnd w:id="20"/>
      <w:r>
        <w:t xml:space="preserve"> </w:t>
      </w:r>
      <w:r w:rsidR="2CF31DBD" w:rsidRPr="00494E8D">
        <w:t xml:space="preserve"> </w:t>
      </w:r>
    </w:p>
    <w:p w14:paraId="4746A1CE" w14:textId="33A460E2" w:rsidR="002A64E5" w:rsidRDefault="002A64E5" w:rsidP="00724FEF">
      <w:pPr>
        <w:pStyle w:val="Tekst"/>
        <w:numPr>
          <w:ilvl w:val="0"/>
          <w:numId w:val="0"/>
        </w:numPr>
        <w:jc w:val="both"/>
      </w:pPr>
      <w:r>
        <w:t xml:space="preserve">Naast de CCM zijn er andere internationaalrechtelijke normen die relevant </w:t>
      </w:r>
      <w:r w:rsidR="0056014C">
        <w:t xml:space="preserve">kunnen </w:t>
      </w:r>
      <w:r>
        <w:t>zijn in het kade</w:t>
      </w:r>
      <w:r w:rsidR="006456B7">
        <w:t xml:space="preserve">r </w:t>
      </w:r>
      <w:r w:rsidR="00283791">
        <w:t xml:space="preserve">van </w:t>
      </w:r>
      <w:r w:rsidR="006456B7">
        <w:t>het verbinden van een gebruiks</w:t>
      </w:r>
      <w:r w:rsidR="00283791">
        <w:t>beperking</w:t>
      </w:r>
      <w:r w:rsidR="006456B7">
        <w:t xml:space="preserve"> aan de F-16’s die Nederland levert aan </w:t>
      </w:r>
      <w:r w:rsidR="00283791">
        <w:t>Oekraïne</w:t>
      </w:r>
      <w:r w:rsidR="006456B7">
        <w:t>.</w:t>
      </w:r>
    </w:p>
    <w:p w14:paraId="52165E52" w14:textId="702ED6A3" w:rsidR="006456B7" w:rsidRDefault="00283791" w:rsidP="00724FEF">
      <w:pPr>
        <w:pStyle w:val="Tekst"/>
        <w:numPr>
          <w:ilvl w:val="0"/>
          <w:numId w:val="0"/>
        </w:numPr>
        <w:jc w:val="both"/>
      </w:pPr>
      <w:r>
        <w:lastRenderedPageBreak/>
        <w:t>H</w:t>
      </w:r>
      <w:r w:rsidR="00EE6661">
        <w:t>ieronder</w:t>
      </w:r>
      <w:r>
        <w:t xml:space="preserve"> worden eerst</w:t>
      </w:r>
      <w:r w:rsidR="00EE6661">
        <w:t xml:space="preserve"> de Geneefse Conventies (hierna ook “GC”) behandeld</w:t>
      </w:r>
      <w:r>
        <w:t xml:space="preserve"> en het verb</w:t>
      </w:r>
      <w:r w:rsidR="00EF6197">
        <w:t>od op niet</w:t>
      </w:r>
      <w:r w:rsidR="00D26364">
        <w:t>-</w:t>
      </w:r>
      <w:r w:rsidR="00EF6197">
        <w:t>onderscheidende aanvallen</w:t>
      </w:r>
      <w:r w:rsidR="002C5BB3">
        <w:t xml:space="preserve"> en</w:t>
      </w:r>
      <w:r w:rsidR="00EE6661">
        <w:t xml:space="preserve"> ten tweede het Wapenhandelsverdrag (hierna ook “ATT” naar de Engels afkorting). </w:t>
      </w:r>
    </w:p>
    <w:p w14:paraId="7C69734A" w14:textId="77777777" w:rsidR="00EE6661" w:rsidRPr="002A64E5" w:rsidRDefault="00EE6661" w:rsidP="00724FEF">
      <w:pPr>
        <w:pStyle w:val="Tekst"/>
        <w:numPr>
          <w:ilvl w:val="0"/>
          <w:numId w:val="0"/>
        </w:numPr>
        <w:jc w:val="both"/>
      </w:pPr>
    </w:p>
    <w:p w14:paraId="1D8E00AB" w14:textId="77777777" w:rsidR="002A64E5" w:rsidRPr="00494E8D" w:rsidRDefault="002A64E5" w:rsidP="00724FEF">
      <w:pPr>
        <w:pStyle w:val="Kop2"/>
        <w:jc w:val="both"/>
      </w:pPr>
      <w:bookmarkStart w:id="21" w:name="_Toc185491856"/>
      <w:r w:rsidRPr="00494E8D">
        <w:t>Artikel 1 Geneefse Conventies</w:t>
      </w:r>
      <w:bookmarkEnd w:id="21"/>
    </w:p>
    <w:p w14:paraId="6BBC6008" w14:textId="17DED599" w:rsidR="002A64E5" w:rsidRPr="00494E8D" w:rsidRDefault="002A64E5" w:rsidP="00724FEF">
      <w:pPr>
        <w:spacing w:before="240" w:after="240"/>
        <w:jc w:val="both"/>
        <w:rPr>
          <w:rFonts w:ascii="Calibri" w:eastAsia="Calibri" w:hAnsi="Calibri" w:cs="Calibri"/>
        </w:rPr>
      </w:pPr>
      <w:r w:rsidRPr="00494E8D">
        <w:rPr>
          <w:rFonts w:ascii="Calibri" w:eastAsia="Calibri" w:hAnsi="Calibri" w:cs="Calibri"/>
        </w:rPr>
        <w:t>Art</w:t>
      </w:r>
      <w:r w:rsidR="00EE6661">
        <w:rPr>
          <w:rFonts w:ascii="Calibri" w:eastAsia="Calibri" w:hAnsi="Calibri" w:cs="Calibri"/>
        </w:rPr>
        <w:t>ikel</w:t>
      </w:r>
      <w:r w:rsidRPr="00494E8D">
        <w:rPr>
          <w:rFonts w:ascii="Calibri" w:eastAsia="Calibri" w:hAnsi="Calibri" w:cs="Calibri"/>
        </w:rPr>
        <w:t xml:space="preserve"> 1 van de Geneefse Conventies (GC) luidt:</w:t>
      </w:r>
    </w:p>
    <w:p w14:paraId="34BD10C9" w14:textId="4F31A351" w:rsidR="002A64E5" w:rsidRPr="0007005C" w:rsidRDefault="002A64E5"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 xml:space="preserve">“The High Contracting Parties undertake </w:t>
      </w:r>
      <w:r w:rsidRPr="0007005C">
        <w:rPr>
          <w:rFonts w:ascii="Calibri" w:eastAsia="Calibri" w:hAnsi="Calibri" w:cs="Calibri"/>
          <w:u w:val="single"/>
          <w:lang w:val="en-US"/>
        </w:rPr>
        <w:t>to respect and to ensure respect</w:t>
      </w:r>
      <w:r w:rsidRPr="0007005C">
        <w:rPr>
          <w:rFonts w:ascii="Calibri" w:eastAsia="Calibri" w:hAnsi="Calibri" w:cs="Calibri"/>
          <w:lang w:val="en-US"/>
        </w:rPr>
        <w:t xml:space="preserve"> for the present Convention in all circumstances.”</w:t>
      </w:r>
      <w:r w:rsidR="00531CCE">
        <w:rPr>
          <w:rStyle w:val="Voetnootmarkering"/>
          <w:rFonts w:ascii="Calibri" w:eastAsia="Calibri" w:hAnsi="Calibri"/>
          <w:lang w:val="en-US"/>
        </w:rPr>
        <w:footnoteReference w:id="72"/>
      </w:r>
    </w:p>
    <w:p w14:paraId="5439CEDA" w14:textId="77777777" w:rsidR="002A64E5" w:rsidRPr="00494E8D" w:rsidRDefault="002A64E5" w:rsidP="00724FEF">
      <w:pPr>
        <w:spacing w:before="240" w:after="240"/>
        <w:jc w:val="both"/>
        <w:rPr>
          <w:rFonts w:ascii="Calibri" w:eastAsia="Calibri" w:hAnsi="Calibri" w:cs="Calibri"/>
        </w:rPr>
      </w:pPr>
      <w:r w:rsidRPr="00494E8D">
        <w:rPr>
          <w:rFonts w:ascii="Calibri" w:eastAsia="Calibri" w:hAnsi="Calibri" w:cs="Calibri"/>
        </w:rPr>
        <w:t>Dit artikel kent een interne en externe dimensie. De externe dimensie bepaalt dat derde Staten die niet betrokken zijn bij een bepaald gewapend conflict – evenals regionale en internationale organisaties – de plicht hebben om actie te ondernemen om naleving van de Geneefse Conventies, en mogelijk van het gehele corpus van het internationaal humanitair recht, door de partijen bij het conflict te waarborgen.</w:t>
      </w:r>
      <w:r w:rsidRPr="00494E8D">
        <w:rPr>
          <w:rStyle w:val="Voetnootmarkering"/>
          <w:rFonts w:ascii="Calibri" w:eastAsia="Calibri" w:hAnsi="Calibri" w:cs="Calibri"/>
        </w:rPr>
        <w:footnoteReference w:id="73"/>
      </w:r>
    </w:p>
    <w:p w14:paraId="48C1673F" w14:textId="2372FCA0" w:rsidR="002A64E5" w:rsidRPr="00494E8D" w:rsidRDefault="002A64E5" w:rsidP="00724FEF">
      <w:pPr>
        <w:spacing w:before="240" w:after="240"/>
        <w:jc w:val="both"/>
        <w:rPr>
          <w:rFonts w:ascii="Calibri" w:eastAsia="Calibri" w:hAnsi="Calibri" w:cs="Calibri"/>
        </w:rPr>
      </w:pPr>
      <w:r w:rsidRPr="00494E8D">
        <w:rPr>
          <w:rFonts w:ascii="Calibri" w:eastAsia="Calibri" w:hAnsi="Calibri" w:cs="Calibri"/>
        </w:rPr>
        <w:t xml:space="preserve">Het commentaar bij de Geneefse Conventies </w:t>
      </w:r>
      <w:r w:rsidR="00EE6661">
        <w:rPr>
          <w:rFonts w:ascii="Calibri" w:eastAsia="Calibri" w:hAnsi="Calibri" w:cs="Calibri"/>
        </w:rPr>
        <w:t>d</w:t>
      </w:r>
      <w:r w:rsidRPr="00494E8D">
        <w:rPr>
          <w:rFonts w:ascii="Calibri" w:eastAsia="Calibri" w:hAnsi="Calibri" w:cs="Calibri"/>
        </w:rPr>
        <w:t>at gepubliceerd werd door de ICRC in de jaren '50 onderstreept de interpretatie dat art</w:t>
      </w:r>
      <w:r w:rsidR="00EE6661">
        <w:rPr>
          <w:rFonts w:ascii="Calibri" w:eastAsia="Calibri" w:hAnsi="Calibri" w:cs="Calibri"/>
        </w:rPr>
        <w:t>ikel</w:t>
      </w:r>
      <w:r w:rsidRPr="00494E8D">
        <w:rPr>
          <w:rFonts w:ascii="Calibri" w:eastAsia="Calibri" w:hAnsi="Calibri" w:cs="Calibri"/>
        </w:rPr>
        <w:t xml:space="preserve"> 1 een verplichting oplegt </w:t>
      </w:r>
      <w:r w:rsidR="003F4B65">
        <w:rPr>
          <w:rFonts w:ascii="Calibri" w:eastAsia="Calibri" w:hAnsi="Calibri" w:cs="Calibri"/>
        </w:rPr>
        <w:t xml:space="preserve">aan (ook) niet-conflict partijen om </w:t>
      </w:r>
      <w:r w:rsidRPr="00494E8D">
        <w:rPr>
          <w:rFonts w:ascii="Calibri" w:eastAsia="Calibri" w:hAnsi="Calibri" w:cs="Calibri"/>
        </w:rPr>
        <w:t>naleving van de Conventies te waarborgen:</w:t>
      </w:r>
    </w:p>
    <w:p w14:paraId="3EA2C4DD" w14:textId="77777777" w:rsidR="002A64E5" w:rsidRPr="0007005C" w:rsidRDefault="002A64E5"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 xml:space="preserve">“[I]n the event of a Power failing to fulfil its obligations, the other Contracting Parties (neutral, allied or enemy) may, and should, </w:t>
      </w:r>
      <w:proofErr w:type="spellStart"/>
      <w:r w:rsidRPr="0007005C">
        <w:rPr>
          <w:rFonts w:ascii="Calibri" w:eastAsia="Calibri" w:hAnsi="Calibri" w:cs="Calibri"/>
          <w:lang w:val="en-US"/>
        </w:rPr>
        <w:t>endeavour</w:t>
      </w:r>
      <w:proofErr w:type="spellEnd"/>
      <w:r w:rsidRPr="0007005C">
        <w:rPr>
          <w:rFonts w:ascii="Calibri" w:eastAsia="Calibri" w:hAnsi="Calibri" w:cs="Calibri"/>
          <w:lang w:val="en-US"/>
        </w:rPr>
        <w:t xml:space="preserve"> to bring it back to an attitude of respect for the Convention. The proper working of the system of protection provided by the Convention demands in fact that the Contracting Parties should not be content merely to apply its provisions themselves, but should do everything in their power to ensure that the </w:t>
      </w:r>
      <w:r w:rsidRPr="003F4B65">
        <w:rPr>
          <w:rFonts w:ascii="Calibri" w:eastAsia="Calibri" w:hAnsi="Calibri" w:cs="Calibri"/>
          <w:lang w:val="en-US"/>
        </w:rPr>
        <w:t>humanitarian principles underlying the Conventions</w:t>
      </w:r>
      <w:r w:rsidRPr="0007005C">
        <w:rPr>
          <w:rFonts w:ascii="Calibri" w:eastAsia="Calibri" w:hAnsi="Calibri" w:cs="Calibri"/>
          <w:lang w:val="en-US"/>
        </w:rPr>
        <w:t xml:space="preserve"> are applied universally.”</w:t>
      </w:r>
      <w:r w:rsidRPr="00494E8D">
        <w:rPr>
          <w:rStyle w:val="Voetnootmarkering"/>
          <w:rFonts w:ascii="Calibri" w:eastAsia="Calibri" w:hAnsi="Calibri" w:cs="Calibri"/>
        </w:rPr>
        <w:footnoteReference w:id="74"/>
      </w:r>
    </w:p>
    <w:p w14:paraId="0567181F" w14:textId="233AFD10" w:rsidR="002A64E5" w:rsidRPr="00494E8D" w:rsidRDefault="002A64E5" w:rsidP="00724FEF">
      <w:pPr>
        <w:spacing w:before="240" w:after="240"/>
        <w:jc w:val="both"/>
        <w:rPr>
          <w:rFonts w:ascii="Calibri" w:eastAsia="Calibri" w:hAnsi="Calibri" w:cs="Calibri"/>
        </w:rPr>
      </w:pPr>
      <w:r w:rsidRPr="00494E8D">
        <w:rPr>
          <w:rFonts w:ascii="Calibri" w:eastAsia="Calibri" w:hAnsi="Calibri" w:cs="Calibri"/>
        </w:rPr>
        <w:t xml:space="preserve">De ICRC noemt voorts dat de praktijk aantoont dat dit een verplichting betreft. Zo heeft het </w:t>
      </w:r>
      <w:r w:rsidR="00EE6661">
        <w:rPr>
          <w:rFonts w:ascii="Calibri" w:eastAsia="Calibri" w:hAnsi="Calibri" w:cs="Calibri"/>
        </w:rPr>
        <w:t>Internationaal Gerechtshof (hierna ook “</w:t>
      </w:r>
      <w:r w:rsidRPr="00494E8D">
        <w:rPr>
          <w:rFonts w:ascii="Calibri" w:eastAsia="Calibri" w:hAnsi="Calibri" w:cs="Calibri"/>
        </w:rPr>
        <w:t>IGH</w:t>
      </w:r>
      <w:r w:rsidR="00EE6661">
        <w:rPr>
          <w:rFonts w:ascii="Calibri" w:eastAsia="Calibri" w:hAnsi="Calibri" w:cs="Calibri"/>
        </w:rPr>
        <w:t>”)</w:t>
      </w:r>
      <w:r w:rsidRPr="00494E8D">
        <w:rPr>
          <w:rFonts w:ascii="Calibri" w:eastAsia="Calibri" w:hAnsi="Calibri" w:cs="Calibri"/>
        </w:rPr>
        <w:t xml:space="preserve"> bij verschillende gelegenheden de dwingende aard van de verplichting om naleving te waarborgen bevestigd. In de Nicaragua-zaak oordeelde het IGH dat, hoewel de VS geen partij was bij het niet-internationaal gewapend conflict, het wel de verplichting had om de naleving van de Geneefse Conventies in alle omstandigheden te waarborgen. Het voegde hieraan toe dat deze verplichting “niet alleen voortvloeit uit de Conventies zelf, maar ook uit de algemene beginselen van het humanitair recht.”</w:t>
      </w:r>
      <w:r w:rsidRPr="00494E8D">
        <w:rPr>
          <w:rStyle w:val="Voetnootmarkering"/>
          <w:rFonts w:ascii="Calibri" w:eastAsia="Calibri" w:hAnsi="Calibri" w:cs="Calibri"/>
        </w:rPr>
        <w:footnoteReference w:id="75"/>
      </w:r>
      <w:r w:rsidRPr="00494E8D">
        <w:rPr>
          <w:rFonts w:ascii="Calibri" w:eastAsia="Calibri" w:hAnsi="Calibri" w:cs="Calibri"/>
        </w:rPr>
        <w:t xml:space="preserve"> Daarbij benadrukte het IGH in de </w:t>
      </w:r>
      <w:proofErr w:type="spellStart"/>
      <w:r w:rsidRPr="00494E8D">
        <w:rPr>
          <w:rFonts w:ascii="Calibri" w:eastAsia="Calibri" w:hAnsi="Calibri" w:cs="Calibri"/>
        </w:rPr>
        <w:t>advisory</w:t>
      </w:r>
      <w:proofErr w:type="spellEnd"/>
      <w:r w:rsidRPr="00494E8D">
        <w:rPr>
          <w:rFonts w:ascii="Calibri" w:eastAsia="Calibri" w:hAnsi="Calibri" w:cs="Calibri"/>
        </w:rPr>
        <w:t xml:space="preserve"> opinion over ’Legal </w:t>
      </w:r>
      <w:proofErr w:type="spellStart"/>
      <w:r w:rsidRPr="00494E8D">
        <w:rPr>
          <w:rFonts w:ascii="Calibri" w:eastAsia="Calibri" w:hAnsi="Calibri" w:cs="Calibri"/>
        </w:rPr>
        <w:t>Consequences</w:t>
      </w:r>
      <w:proofErr w:type="spellEnd"/>
      <w:r w:rsidRPr="00494E8D">
        <w:rPr>
          <w:rFonts w:ascii="Calibri" w:eastAsia="Calibri" w:hAnsi="Calibri" w:cs="Calibri"/>
        </w:rPr>
        <w:t xml:space="preserve"> of </w:t>
      </w:r>
      <w:proofErr w:type="spellStart"/>
      <w:r w:rsidRPr="00494E8D">
        <w:rPr>
          <w:rFonts w:ascii="Calibri" w:eastAsia="Calibri" w:hAnsi="Calibri" w:cs="Calibri"/>
        </w:rPr>
        <w:t>the</w:t>
      </w:r>
      <w:proofErr w:type="spellEnd"/>
      <w:r w:rsidRPr="00494E8D">
        <w:rPr>
          <w:rFonts w:ascii="Calibri" w:eastAsia="Calibri" w:hAnsi="Calibri" w:cs="Calibri"/>
        </w:rPr>
        <w:t xml:space="preserve"> Construction of a Wall in </w:t>
      </w:r>
      <w:proofErr w:type="spellStart"/>
      <w:r w:rsidRPr="00494E8D">
        <w:rPr>
          <w:rFonts w:ascii="Calibri" w:eastAsia="Calibri" w:hAnsi="Calibri" w:cs="Calibri"/>
        </w:rPr>
        <w:t>the</w:t>
      </w:r>
      <w:proofErr w:type="spellEnd"/>
      <w:r w:rsidRPr="00494E8D">
        <w:rPr>
          <w:rFonts w:ascii="Calibri" w:eastAsia="Calibri" w:hAnsi="Calibri" w:cs="Calibri"/>
        </w:rPr>
        <w:t xml:space="preserve"> </w:t>
      </w:r>
      <w:proofErr w:type="spellStart"/>
      <w:r w:rsidRPr="00494E8D">
        <w:rPr>
          <w:rFonts w:ascii="Calibri" w:eastAsia="Calibri" w:hAnsi="Calibri" w:cs="Calibri"/>
        </w:rPr>
        <w:t>Occupied</w:t>
      </w:r>
      <w:proofErr w:type="spellEnd"/>
      <w:r w:rsidRPr="00494E8D">
        <w:rPr>
          <w:rFonts w:ascii="Calibri" w:eastAsia="Calibri" w:hAnsi="Calibri" w:cs="Calibri"/>
        </w:rPr>
        <w:t xml:space="preserve"> </w:t>
      </w:r>
      <w:proofErr w:type="spellStart"/>
      <w:r w:rsidRPr="00494E8D">
        <w:rPr>
          <w:rFonts w:ascii="Calibri" w:eastAsia="Calibri" w:hAnsi="Calibri" w:cs="Calibri"/>
        </w:rPr>
        <w:t>Palestinian</w:t>
      </w:r>
      <w:proofErr w:type="spellEnd"/>
      <w:r w:rsidRPr="00494E8D">
        <w:rPr>
          <w:rFonts w:ascii="Calibri" w:eastAsia="Calibri" w:hAnsi="Calibri" w:cs="Calibri"/>
        </w:rPr>
        <w:t xml:space="preserve"> </w:t>
      </w:r>
      <w:proofErr w:type="spellStart"/>
      <w:r w:rsidRPr="00494E8D">
        <w:rPr>
          <w:rFonts w:ascii="Calibri" w:eastAsia="Calibri" w:hAnsi="Calibri" w:cs="Calibri"/>
        </w:rPr>
        <w:t>Territory</w:t>
      </w:r>
      <w:proofErr w:type="spellEnd"/>
      <w:r w:rsidRPr="00494E8D">
        <w:rPr>
          <w:rFonts w:ascii="Calibri" w:eastAsia="Calibri" w:hAnsi="Calibri" w:cs="Calibri"/>
        </w:rPr>
        <w:t>’ dat “elke staat die partij is bij [de Vierde Geneefse Conventie], ongeacht of het een partij is bij een specifiek conflict, de verplichting heeft om te waarborgen dat aan de vereisten van de betreffende instrumenten wordt voldaan.”</w:t>
      </w:r>
      <w:r w:rsidRPr="00494E8D">
        <w:rPr>
          <w:rStyle w:val="Voetnootmarkering"/>
          <w:rFonts w:ascii="Calibri" w:eastAsia="Calibri" w:hAnsi="Calibri" w:cs="Calibri"/>
        </w:rPr>
        <w:footnoteReference w:id="76"/>
      </w:r>
      <w:r w:rsidRPr="00494E8D">
        <w:rPr>
          <w:rFonts w:ascii="Calibri" w:eastAsia="Calibri" w:hAnsi="Calibri" w:cs="Calibri"/>
        </w:rPr>
        <w:t xml:space="preserve"> Ten slotte hebben ook de Veiligheidsraad en de Algemene Vergadering talloze </w:t>
      </w:r>
      <w:r w:rsidRPr="00494E8D">
        <w:rPr>
          <w:rFonts w:ascii="Calibri" w:eastAsia="Calibri" w:hAnsi="Calibri" w:cs="Calibri"/>
        </w:rPr>
        <w:lastRenderedPageBreak/>
        <w:t>resoluties uitgevaardigd waarin zij het bestaan van een juridische verplichting voor derde staten bevestigen om de naleving van het internationaal humanitair recht te waarborgen in conflicten waarbij zij geen partij zijn.</w:t>
      </w:r>
      <w:r w:rsidRPr="00494E8D">
        <w:rPr>
          <w:rStyle w:val="Voetnootmarkering"/>
          <w:rFonts w:ascii="Calibri" w:eastAsia="Calibri" w:hAnsi="Calibri" w:cs="Calibri"/>
        </w:rPr>
        <w:footnoteReference w:id="77"/>
      </w:r>
    </w:p>
    <w:p w14:paraId="5F151BD3" w14:textId="30C34D3E" w:rsidR="002A64E5" w:rsidRPr="00494E8D" w:rsidRDefault="002A64E5" w:rsidP="00724FEF">
      <w:pPr>
        <w:spacing w:before="240" w:after="240"/>
        <w:jc w:val="both"/>
        <w:rPr>
          <w:rFonts w:ascii="Calibri" w:eastAsia="Calibri" w:hAnsi="Calibri" w:cs="Calibri"/>
        </w:rPr>
      </w:pPr>
      <w:r w:rsidRPr="0007005C">
        <w:rPr>
          <w:rFonts w:ascii="Calibri" w:eastAsia="Calibri" w:hAnsi="Calibri" w:cs="Calibri"/>
          <w:lang w:val="en-US"/>
        </w:rPr>
        <w:t xml:space="preserve">In Nicaragua </w:t>
      </w:r>
      <w:r w:rsidR="008F683A">
        <w:rPr>
          <w:rFonts w:ascii="Calibri" w:eastAsia="Calibri" w:hAnsi="Calibri" w:cs="Calibri"/>
          <w:lang w:val="en-US"/>
        </w:rPr>
        <w:t>t</w:t>
      </w:r>
      <w:r w:rsidRPr="0007005C">
        <w:rPr>
          <w:rFonts w:ascii="Calibri" w:eastAsia="Calibri" w:hAnsi="Calibri" w:cs="Calibri"/>
          <w:lang w:val="en-US"/>
        </w:rPr>
        <w:t xml:space="preserve">. </w:t>
      </w:r>
      <w:proofErr w:type="spellStart"/>
      <w:r w:rsidRPr="0007005C">
        <w:rPr>
          <w:rFonts w:ascii="Calibri" w:eastAsia="Calibri" w:hAnsi="Calibri" w:cs="Calibri"/>
          <w:lang w:val="en-US"/>
        </w:rPr>
        <w:t>Duitsland</w:t>
      </w:r>
      <w:proofErr w:type="spellEnd"/>
      <w:r w:rsidRPr="0007005C">
        <w:rPr>
          <w:rFonts w:ascii="Calibri" w:eastAsia="Calibri" w:hAnsi="Calibri" w:cs="Calibri"/>
          <w:lang w:val="en-US"/>
        </w:rPr>
        <w:t xml:space="preserve"> </w:t>
      </w:r>
      <w:proofErr w:type="spellStart"/>
      <w:r w:rsidRPr="0007005C">
        <w:rPr>
          <w:rFonts w:ascii="Calibri" w:eastAsia="Calibri" w:hAnsi="Calibri" w:cs="Calibri"/>
          <w:lang w:val="en-US"/>
        </w:rPr>
        <w:t>oordeelde</w:t>
      </w:r>
      <w:proofErr w:type="spellEnd"/>
      <w:r w:rsidRPr="0007005C">
        <w:rPr>
          <w:rFonts w:ascii="Calibri" w:eastAsia="Calibri" w:hAnsi="Calibri" w:cs="Calibri"/>
          <w:lang w:val="en-US"/>
        </w:rPr>
        <w:t xml:space="preserve"> het IGH </w:t>
      </w:r>
      <w:r w:rsidR="00E14416">
        <w:rPr>
          <w:rFonts w:ascii="Calibri" w:eastAsia="Calibri" w:hAnsi="Calibri" w:cs="Calibri"/>
          <w:lang w:val="en-US"/>
        </w:rPr>
        <w:t xml:space="preserve">in 2024 </w:t>
      </w:r>
      <w:proofErr w:type="spellStart"/>
      <w:r w:rsidRPr="0007005C">
        <w:rPr>
          <w:rFonts w:ascii="Calibri" w:eastAsia="Calibri" w:hAnsi="Calibri" w:cs="Calibri"/>
          <w:lang w:val="en-US"/>
        </w:rPr>
        <w:t>dat</w:t>
      </w:r>
      <w:proofErr w:type="spellEnd"/>
      <w:r w:rsidRPr="0007005C">
        <w:rPr>
          <w:rFonts w:ascii="Calibri" w:eastAsia="Calibri" w:hAnsi="Calibri" w:cs="Calibri"/>
          <w:lang w:val="en-US"/>
        </w:rPr>
        <w:t xml:space="preserve"> de </w:t>
      </w:r>
      <w:proofErr w:type="spellStart"/>
      <w:r w:rsidRPr="0007005C">
        <w:rPr>
          <w:rFonts w:ascii="Calibri" w:eastAsia="Calibri" w:hAnsi="Calibri" w:cs="Calibri"/>
          <w:lang w:val="en-US"/>
        </w:rPr>
        <w:t>verplichting</w:t>
      </w:r>
      <w:proofErr w:type="spellEnd"/>
      <w:r w:rsidRPr="0007005C">
        <w:rPr>
          <w:rFonts w:ascii="Calibri" w:eastAsia="Calibri" w:hAnsi="Calibri" w:cs="Calibri"/>
          <w:lang w:val="en-US"/>
        </w:rPr>
        <w:t xml:space="preserve"> van </w:t>
      </w:r>
      <w:proofErr w:type="spellStart"/>
      <w:r w:rsidRPr="0007005C">
        <w:rPr>
          <w:rFonts w:ascii="Calibri" w:eastAsia="Calibri" w:hAnsi="Calibri" w:cs="Calibri"/>
          <w:lang w:val="en-US"/>
        </w:rPr>
        <w:t>art</w:t>
      </w:r>
      <w:r w:rsidR="00E14416">
        <w:rPr>
          <w:rFonts w:ascii="Calibri" w:eastAsia="Calibri" w:hAnsi="Calibri" w:cs="Calibri"/>
          <w:lang w:val="en-US"/>
        </w:rPr>
        <w:t>ikel</w:t>
      </w:r>
      <w:proofErr w:type="spellEnd"/>
      <w:r w:rsidRPr="0007005C">
        <w:rPr>
          <w:rFonts w:ascii="Calibri" w:eastAsia="Calibri" w:hAnsi="Calibri" w:cs="Calibri"/>
          <w:lang w:val="en-US"/>
        </w:rPr>
        <w:t xml:space="preserve"> 1 GC om </w:t>
      </w:r>
      <w:proofErr w:type="spellStart"/>
      <w:r w:rsidRPr="0007005C">
        <w:rPr>
          <w:rFonts w:ascii="Calibri" w:eastAsia="Calibri" w:hAnsi="Calibri" w:cs="Calibri"/>
          <w:lang w:val="en-US"/>
        </w:rPr>
        <w:t>naleving</w:t>
      </w:r>
      <w:proofErr w:type="spellEnd"/>
      <w:r w:rsidRPr="0007005C">
        <w:rPr>
          <w:rFonts w:ascii="Calibri" w:eastAsia="Calibri" w:hAnsi="Calibri" w:cs="Calibri"/>
          <w:lang w:val="en-US"/>
        </w:rPr>
        <w:t xml:space="preserve"> van de </w:t>
      </w:r>
      <w:proofErr w:type="spellStart"/>
      <w:r w:rsidRPr="0007005C">
        <w:rPr>
          <w:rFonts w:ascii="Calibri" w:eastAsia="Calibri" w:hAnsi="Calibri" w:cs="Calibri"/>
          <w:lang w:val="en-US"/>
        </w:rPr>
        <w:t>Geneefse</w:t>
      </w:r>
      <w:proofErr w:type="spellEnd"/>
      <w:r w:rsidRPr="0007005C">
        <w:rPr>
          <w:rFonts w:ascii="Calibri" w:eastAsia="Calibri" w:hAnsi="Calibri" w:cs="Calibri"/>
          <w:lang w:val="en-US"/>
        </w:rPr>
        <w:t xml:space="preserve"> </w:t>
      </w:r>
      <w:proofErr w:type="spellStart"/>
      <w:r w:rsidRPr="0007005C">
        <w:rPr>
          <w:rFonts w:ascii="Calibri" w:eastAsia="Calibri" w:hAnsi="Calibri" w:cs="Calibri"/>
          <w:lang w:val="en-US"/>
        </w:rPr>
        <w:t>Conventies</w:t>
      </w:r>
      <w:proofErr w:type="spellEnd"/>
      <w:r w:rsidRPr="0007005C">
        <w:rPr>
          <w:rFonts w:ascii="Calibri" w:eastAsia="Calibri" w:hAnsi="Calibri" w:cs="Calibri"/>
          <w:lang w:val="en-US"/>
        </w:rPr>
        <w:t xml:space="preserve"> </w:t>
      </w:r>
      <w:proofErr w:type="spellStart"/>
      <w:r w:rsidRPr="0007005C">
        <w:rPr>
          <w:rFonts w:ascii="Calibri" w:eastAsia="Calibri" w:hAnsi="Calibri" w:cs="Calibri"/>
          <w:lang w:val="en-US"/>
        </w:rPr>
        <w:t>te</w:t>
      </w:r>
      <w:proofErr w:type="spellEnd"/>
      <w:r w:rsidRPr="0007005C">
        <w:rPr>
          <w:rFonts w:ascii="Calibri" w:eastAsia="Calibri" w:hAnsi="Calibri" w:cs="Calibri"/>
          <w:lang w:val="en-US"/>
        </w:rPr>
        <w:t xml:space="preserve"> </w:t>
      </w:r>
      <w:proofErr w:type="spellStart"/>
      <w:r w:rsidRPr="0007005C">
        <w:rPr>
          <w:rFonts w:ascii="Calibri" w:eastAsia="Calibri" w:hAnsi="Calibri" w:cs="Calibri"/>
          <w:lang w:val="en-US"/>
        </w:rPr>
        <w:t>waarborgen</w:t>
      </w:r>
      <w:proofErr w:type="spellEnd"/>
      <w:r w:rsidRPr="0007005C">
        <w:rPr>
          <w:rFonts w:ascii="Calibri" w:eastAsia="Calibri" w:hAnsi="Calibri" w:cs="Calibri"/>
          <w:lang w:val="en-US"/>
        </w:rPr>
        <w:t xml:space="preserve"> “does not derive only from the Conventions themselves, but from the general principles of humanitarian law to which the Conventions merely give specific expression”.</w:t>
      </w:r>
      <w:r w:rsidRPr="00494E8D">
        <w:rPr>
          <w:rStyle w:val="Voetnootmarkering"/>
          <w:rFonts w:ascii="Calibri" w:eastAsia="Calibri" w:hAnsi="Calibri" w:cs="Calibri"/>
        </w:rPr>
        <w:footnoteReference w:id="78"/>
      </w:r>
      <w:r w:rsidRPr="0007005C">
        <w:rPr>
          <w:rFonts w:ascii="Calibri" w:eastAsia="Calibri" w:hAnsi="Calibri" w:cs="Calibri"/>
          <w:lang w:val="en-US"/>
        </w:rPr>
        <w:t xml:space="preserve"> </w:t>
      </w:r>
      <w:r w:rsidRPr="00494E8D">
        <w:rPr>
          <w:rFonts w:ascii="Calibri" w:eastAsia="Calibri" w:hAnsi="Calibri" w:cs="Calibri"/>
        </w:rPr>
        <w:t>Vervolgens legde het IGH uit wat deze verplichting inhoudt in de context van het Genocideverdrag:</w:t>
      </w:r>
    </w:p>
    <w:p w14:paraId="47D96131" w14:textId="77777777" w:rsidR="002A64E5" w:rsidRPr="0007005C" w:rsidRDefault="002A64E5"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 xml:space="preserve">“(...) that the obligation to prevent the commission of the crime of genocide, pursuant to Article I, requires States parties that are </w:t>
      </w:r>
      <w:r w:rsidRPr="0007005C">
        <w:rPr>
          <w:rFonts w:ascii="Calibri" w:eastAsia="Calibri" w:hAnsi="Calibri" w:cs="Calibri"/>
          <w:u w:val="single"/>
          <w:lang w:val="en-US"/>
        </w:rPr>
        <w:t>aware, or that should normally have been aware, of the serious risk that acts of genocide would have been committed, to employ all means reasonably available to them to prevent genocide so far as possible</w:t>
      </w:r>
      <w:r w:rsidRPr="0007005C">
        <w:rPr>
          <w:rFonts w:ascii="Calibri" w:eastAsia="Calibri" w:hAnsi="Calibri" w:cs="Calibri"/>
          <w:lang w:val="en-US"/>
        </w:rPr>
        <w:t>.”</w:t>
      </w:r>
      <w:r w:rsidRPr="00494E8D">
        <w:rPr>
          <w:rStyle w:val="Voetnootmarkering"/>
          <w:rFonts w:ascii="Calibri" w:eastAsia="Calibri" w:hAnsi="Calibri" w:cs="Calibri"/>
        </w:rPr>
        <w:footnoteReference w:id="79"/>
      </w:r>
    </w:p>
    <w:p w14:paraId="79727215" w14:textId="77777777" w:rsidR="002A64E5" w:rsidRPr="00494E8D" w:rsidRDefault="002A64E5" w:rsidP="00724FEF">
      <w:pPr>
        <w:spacing w:before="240" w:after="240"/>
        <w:jc w:val="both"/>
        <w:rPr>
          <w:rFonts w:ascii="Calibri" w:eastAsia="Calibri" w:hAnsi="Calibri" w:cs="Calibri"/>
        </w:rPr>
      </w:pPr>
      <w:r w:rsidRPr="00494E8D">
        <w:rPr>
          <w:rFonts w:ascii="Calibri" w:eastAsia="Calibri" w:hAnsi="Calibri" w:cs="Calibri"/>
        </w:rPr>
        <w:t>Daarbij herinnert het IGH Staten aan hun IHR-verplichtingen bij het leveren van wapens aan landen die partij zijn bij een gewapend conflict:</w:t>
      </w:r>
    </w:p>
    <w:p w14:paraId="368F954D" w14:textId="77777777" w:rsidR="002A64E5" w:rsidRDefault="002A64E5"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 xml:space="preserve">“Moreover, the Court considers it particularly important to remind all States of their </w:t>
      </w:r>
      <w:r w:rsidRPr="0007005C">
        <w:rPr>
          <w:rFonts w:ascii="Calibri" w:eastAsia="Calibri" w:hAnsi="Calibri" w:cs="Calibri"/>
          <w:u w:val="single"/>
          <w:lang w:val="en-US"/>
        </w:rPr>
        <w:t>international obligations relating to the transfer of arms to parties to an armed conflict, in order to avoid the risk that such arms might be used to violate the above-mentioned Conventions</w:t>
      </w:r>
      <w:r w:rsidRPr="0007005C">
        <w:rPr>
          <w:rFonts w:ascii="Calibri" w:eastAsia="Calibri" w:hAnsi="Calibri" w:cs="Calibri"/>
          <w:lang w:val="en-US"/>
        </w:rPr>
        <w:t>. All these obligations are incumbent upon Germany as a State party to the said Conventions in its supply of arms to Israel.”</w:t>
      </w:r>
      <w:r w:rsidRPr="00494E8D">
        <w:rPr>
          <w:rStyle w:val="Voetnootmarkering"/>
          <w:rFonts w:ascii="Calibri" w:eastAsia="Calibri" w:hAnsi="Calibri" w:cs="Calibri"/>
        </w:rPr>
        <w:footnoteReference w:id="80"/>
      </w:r>
    </w:p>
    <w:p w14:paraId="0674B768" w14:textId="27335CDA" w:rsidR="00E14416" w:rsidRPr="00C92AF8" w:rsidRDefault="00AF6B19" w:rsidP="00724FEF">
      <w:pPr>
        <w:spacing w:before="240" w:after="240"/>
        <w:jc w:val="both"/>
        <w:rPr>
          <w:rFonts w:ascii="Calibri" w:eastAsia="Calibri" w:hAnsi="Calibri" w:cs="Calibri"/>
        </w:rPr>
      </w:pPr>
      <w:r w:rsidRPr="00C92AF8">
        <w:rPr>
          <w:rFonts w:ascii="Calibri" w:eastAsia="Calibri" w:hAnsi="Calibri" w:cs="Calibri"/>
        </w:rPr>
        <w:t xml:space="preserve">Ook de Advocaat Generaal </w:t>
      </w:r>
      <w:r w:rsidR="00627205" w:rsidRPr="00C92AF8">
        <w:rPr>
          <w:rFonts w:ascii="Calibri" w:eastAsia="Calibri" w:hAnsi="Calibri" w:cs="Calibri"/>
        </w:rPr>
        <w:t xml:space="preserve">bij de Hoge Raad </w:t>
      </w:r>
      <w:r w:rsidR="00DC2AD0" w:rsidRPr="00C92AF8">
        <w:rPr>
          <w:rFonts w:ascii="Calibri" w:eastAsia="Calibri" w:hAnsi="Calibri" w:cs="Calibri"/>
        </w:rPr>
        <w:t xml:space="preserve">concludeerde in zijn conclusie bij de </w:t>
      </w:r>
      <w:r w:rsidR="00E14416" w:rsidRPr="00C92AF8">
        <w:rPr>
          <w:rFonts w:ascii="Calibri" w:eastAsia="Calibri" w:hAnsi="Calibri" w:cs="Calibri"/>
        </w:rPr>
        <w:t>F-35 zaak</w:t>
      </w:r>
      <w:r w:rsidR="00DC2AD0" w:rsidRPr="00C92AF8">
        <w:rPr>
          <w:rFonts w:ascii="Calibri" w:eastAsia="Calibri" w:hAnsi="Calibri" w:cs="Calibri"/>
        </w:rPr>
        <w:t xml:space="preserve"> dat artikel 1 GC de conclusie rechtvaardigde dat de Staat verplicht was om een verleende vergunning opnieuw te toetsen </w:t>
      </w:r>
      <w:r w:rsidR="00D5038E" w:rsidRPr="00C92AF8">
        <w:rPr>
          <w:rFonts w:ascii="Calibri" w:eastAsia="Calibri" w:hAnsi="Calibri" w:cs="Calibri"/>
        </w:rPr>
        <w:t>wanneer er s</w:t>
      </w:r>
      <w:r w:rsidR="00D5038E" w:rsidRPr="00D5038E">
        <w:rPr>
          <w:rFonts w:ascii="Calibri" w:eastAsia="Calibri" w:hAnsi="Calibri" w:cs="Calibri"/>
        </w:rPr>
        <w:t>prake is van nieuwe, relevante informatie die erin bestaat dat er een duidelijk risico is dat de F35-onderdelen door Israël worden gebruikt voor ernstige schendingen van internationaal humanitair recht.</w:t>
      </w:r>
      <w:r w:rsidR="00D5038E">
        <w:rPr>
          <w:rStyle w:val="Voetnootmarkering"/>
          <w:rFonts w:ascii="Calibri" w:eastAsia="Calibri" w:hAnsi="Calibri"/>
        </w:rPr>
        <w:footnoteReference w:id="81"/>
      </w:r>
    </w:p>
    <w:p w14:paraId="4CA5BDAF" w14:textId="77777777" w:rsidR="00E14416" w:rsidRPr="00C92AF8" w:rsidRDefault="00E14416" w:rsidP="00724FEF">
      <w:pPr>
        <w:spacing w:before="240" w:after="240"/>
        <w:jc w:val="both"/>
        <w:rPr>
          <w:rFonts w:ascii="Calibri" w:eastAsia="Calibri" w:hAnsi="Calibri" w:cs="Calibri"/>
        </w:rPr>
      </w:pPr>
    </w:p>
    <w:p w14:paraId="3D5F869C" w14:textId="77777777" w:rsidR="002A64E5" w:rsidRPr="00494E8D" w:rsidRDefault="002A64E5" w:rsidP="00724FEF">
      <w:pPr>
        <w:pStyle w:val="Kop3"/>
        <w:jc w:val="both"/>
        <w:rPr>
          <w:rFonts w:ascii="Calibri" w:eastAsia="Calibri" w:hAnsi="Calibri" w:cs="Calibri"/>
        </w:rPr>
      </w:pPr>
      <w:bookmarkStart w:id="22" w:name="_Toc185491857"/>
      <w:r w:rsidRPr="00494E8D">
        <w:t>Concrete inhoud van de verplichting van art</w:t>
      </w:r>
      <w:r>
        <w:t>ikel</w:t>
      </w:r>
      <w:r w:rsidRPr="00494E8D">
        <w:t xml:space="preserve"> 1 GC</w:t>
      </w:r>
      <w:bookmarkEnd w:id="22"/>
    </w:p>
    <w:p w14:paraId="14BBEE22" w14:textId="6C10CCB2" w:rsidR="002A64E5" w:rsidRPr="00494E8D" w:rsidRDefault="002A64E5" w:rsidP="00724FEF">
      <w:pPr>
        <w:spacing w:before="240" w:after="240"/>
        <w:jc w:val="both"/>
        <w:rPr>
          <w:rFonts w:ascii="Calibri" w:eastAsia="Calibri" w:hAnsi="Calibri" w:cs="Calibri"/>
        </w:rPr>
      </w:pPr>
      <w:r w:rsidRPr="00494E8D">
        <w:rPr>
          <w:rFonts w:ascii="Calibri" w:eastAsia="Calibri" w:hAnsi="Calibri" w:cs="Calibri"/>
        </w:rPr>
        <w:t>De woorden "</w:t>
      </w:r>
      <w:proofErr w:type="spellStart"/>
      <w:r w:rsidRPr="00494E8D">
        <w:rPr>
          <w:rFonts w:ascii="Calibri" w:eastAsia="Calibri" w:hAnsi="Calibri" w:cs="Calibri"/>
        </w:rPr>
        <w:t>ensure</w:t>
      </w:r>
      <w:proofErr w:type="spellEnd"/>
      <w:r w:rsidRPr="00494E8D">
        <w:rPr>
          <w:rFonts w:ascii="Calibri" w:eastAsia="Calibri" w:hAnsi="Calibri" w:cs="Calibri"/>
        </w:rPr>
        <w:t xml:space="preserve"> respect" impliceren een actieve plicht, en de term "</w:t>
      </w:r>
      <w:proofErr w:type="spellStart"/>
      <w:r w:rsidRPr="00494E8D">
        <w:rPr>
          <w:rFonts w:ascii="Calibri" w:eastAsia="Calibri" w:hAnsi="Calibri" w:cs="Calibri"/>
        </w:rPr>
        <w:t>undertake</w:t>
      </w:r>
      <w:proofErr w:type="spellEnd"/>
      <w:r w:rsidRPr="00494E8D">
        <w:rPr>
          <w:rFonts w:ascii="Calibri" w:eastAsia="Calibri" w:hAnsi="Calibri" w:cs="Calibri"/>
        </w:rPr>
        <w:t>" duidt op een daadwerkelijke verplichting, wat geldt voor alle aspecten van art</w:t>
      </w:r>
      <w:r w:rsidR="003E75EF">
        <w:rPr>
          <w:rFonts w:ascii="Calibri" w:eastAsia="Calibri" w:hAnsi="Calibri" w:cs="Calibri"/>
        </w:rPr>
        <w:t>ikel</w:t>
      </w:r>
      <w:r w:rsidRPr="00494E8D">
        <w:rPr>
          <w:rFonts w:ascii="Calibri" w:eastAsia="Calibri" w:hAnsi="Calibri" w:cs="Calibri"/>
        </w:rPr>
        <w:t xml:space="preserve"> 1 – zowel de interne als de externe </w:t>
      </w:r>
      <w:r w:rsidRPr="00494E8D">
        <w:rPr>
          <w:rFonts w:ascii="Calibri" w:eastAsia="Calibri" w:hAnsi="Calibri" w:cs="Calibri"/>
        </w:rPr>
        <w:lastRenderedPageBreak/>
        <w:t>component.</w:t>
      </w:r>
      <w:r w:rsidRPr="00494E8D">
        <w:rPr>
          <w:rStyle w:val="Voetnootmarkering"/>
          <w:rFonts w:ascii="Calibri" w:eastAsia="Calibri" w:hAnsi="Calibri" w:cs="Calibri"/>
        </w:rPr>
        <w:footnoteReference w:id="82"/>
      </w:r>
      <w:r w:rsidRPr="00494E8D">
        <w:rPr>
          <w:rFonts w:ascii="Calibri" w:eastAsia="Calibri" w:hAnsi="Calibri" w:cs="Calibri"/>
        </w:rPr>
        <w:t xml:space="preserve"> Volgens K. </w:t>
      </w:r>
      <w:proofErr w:type="spellStart"/>
      <w:r w:rsidRPr="00494E8D">
        <w:rPr>
          <w:rFonts w:ascii="Calibri" w:eastAsia="Calibri" w:hAnsi="Calibri" w:cs="Calibri"/>
        </w:rPr>
        <w:t>Dörnermann</w:t>
      </w:r>
      <w:proofErr w:type="spellEnd"/>
      <w:r w:rsidRPr="00494E8D">
        <w:rPr>
          <w:rFonts w:ascii="Calibri" w:eastAsia="Calibri" w:hAnsi="Calibri" w:cs="Calibri"/>
        </w:rPr>
        <w:t xml:space="preserve"> en J. </w:t>
      </w:r>
      <w:proofErr w:type="spellStart"/>
      <w:r w:rsidRPr="00494E8D">
        <w:rPr>
          <w:rFonts w:ascii="Calibri" w:eastAsia="Calibri" w:hAnsi="Calibri" w:cs="Calibri"/>
        </w:rPr>
        <w:t>Serralvo</w:t>
      </w:r>
      <w:proofErr w:type="spellEnd"/>
      <w:r w:rsidRPr="00494E8D">
        <w:rPr>
          <w:rFonts w:ascii="Calibri" w:eastAsia="Calibri" w:hAnsi="Calibri" w:cs="Calibri"/>
        </w:rPr>
        <w:t xml:space="preserve"> bevat dit altijd een inspanningsverplichting in plaats van een resultaatsverplichting: </w:t>
      </w:r>
    </w:p>
    <w:p w14:paraId="08AB5191" w14:textId="77777777" w:rsidR="002A64E5" w:rsidRPr="0007005C" w:rsidRDefault="002A64E5"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“On the contrary, third States can only be under an obligation to exercise due diligence in choosing appropriate measures to induce belligerents to comply with the law. This does not turn the duty to ensure respect into a vacuous norm, since States are under the obligation, depending on the influence they may exert, to take all possible steps, as well as any lawful means at their disposal, to safeguard respect for IHL rules by all other States.90 If they fail to do so, they might incur international responsibility.”</w:t>
      </w:r>
      <w:r w:rsidRPr="00494E8D">
        <w:rPr>
          <w:rStyle w:val="Voetnootmarkering"/>
          <w:rFonts w:ascii="Calibri" w:eastAsia="Calibri" w:hAnsi="Calibri" w:cs="Calibri"/>
        </w:rPr>
        <w:footnoteReference w:id="83"/>
      </w:r>
    </w:p>
    <w:p w14:paraId="2F64D888" w14:textId="77777777" w:rsidR="002A64E5" w:rsidRPr="00494E8D" w:rsidRDefault="002A64E5" w:rsidP="00724FEF">
      <w:pPr>
        <w:spacing w:before="240" w:after="240"/>
        <w:jc w:val="both"/>
        <w:rPr>
          <w:rFonts w:ascii="Calibri" w:eastAsia="Calibri" w:hAnsi="Calibri" w:cs="Calibri"/>
        </w:rPr>
      </w:pPr>
      <w:r w:rsidRPr="00494E8D">
        <w:rPr>
          <w:rFonts w:ascii="Calibri" w:eastAsia="Calibri" w:hAnsi="Calibri" w:cs="Calibri"/>
        </w:rPr>
        <w:t>Wanneer deze verplichting geschonden is, hangt af van het geval:</w:t>
      </w:r>
    </w:p>
    <w:p w14:paraId="4AD39D5E" w14:textId="4AEAD88E" w:rsidR="002A64E5" w:rsidRPr="00494E8D" w:rsidRDefault="002A64E5" w:rsidP="00724FEF">
      <w:pPr>
        <w:spacing w:before="240" w:after="240"/>
        <w:ind w:left="708"/>
        <w:jc w:val="both"/>
        <w:rPr>
          <w:rFonts w:ascii="Calibri" w:eastAsia="Calibri" w:hAnsi="Calibri" w:cs="Calibri"/>
          <w:i/>
          <w:iCs/>
        </w:rPr>
      </w:pPr>
      <w:r w:rsidRPr="0007005C">
        <w:rPr>
          <w:rFonts w:ascii="Calibri" w:eastAsia="Calibri" w:hAnsi="Calibri" w:cs="Calibri"/>
          <w:lang w:val="en-US"/>
        </w:rPr>
        <w:t>“Thus, only a case-by-case analysis can reveal whether a State has actually violated CA 1. For that purpose, together with the capacity to influence the parties to the conflict, it is important to take into consideration the seriousness of the potential violation.98 For instance, a non-belligerent State C could hardly justify its passiveness vis-à-vis grave breaches of the Geneva Conventions committed by State A against State B, in particular if State C has a “</w:t>
      </w:r>
      <w:r w:rsidRPr="0007005C">
        <w:rPr>
          <w:rFonts w:ascii="Calibri" w:eastAsia="Calibri" w:hAnsi="Calibri" w:cs="Calibri"/>
          <w:u w:val="single"/>
          <w:lang w:val="en-US"/>
        </w:rPr>
        <w:t>special relationship</w:t>
      </w:r>
      <w:r w:rsidRPr="0007005C">
        <w:rPr>
          <w:rFonts w:ascii="Calibri" w:eastAsia="Calibri" w:hAnsi="Calibri" w:cs="Calibri"/>
          <w:lang w:val="en-US"/>
        </w:rPr>
        <w:t xml:space="preserve">” with State A.99 </w:t>
      </w:r>
      <w:r w:rsidRPr="0007005C">
        <w:rPr>
          <w:rFonts w:ascii="Calibri" w:eastAsia="Calibri" w:hAnsi="Calibri" w:cs="Calibri"/>
          <w:u w:val="single"/>
          <w:lang w:val="en-US"/>
        </w:rPr>
        <w:t>Such a special relationship is even more pronounced if third States provide support, directly or indirectly, to a party to an ongoing armed conflict</w:t>
      </w:r>
      <w:r w:rsidRPr="0007005C">
        <w:rPr>
          <w:rFonts w:ascii="Calibri" w:eastAsia="Calibri" w:hAnsi="Calibri" w:cs="Calibri"/>
          <w:lang w:val="en-US"/>
        </w:rPr>
        <w:t>.”</w:t>
      </w:r>
      <w:r w:rsidRPr="00494E8D">
        <w:rPr>
          <w:rStyle w:val="Voetnootmarkering"/>
          <w:rFonts w:ascii="Calibri" w:eastAsia="Calibri" w:hAnsi="Calibri" w:cs="Calibri"/>
        </w:rPr>
        <w:footnoteReference w:id="84"/>
      </w:r>
    </w:p>
    <w:p w14:paraId="3348EF53" w14:textId="0C034D8D" w:rsidR="002A64E5" w:rsidRPr="00494E8D" w:rsidRDefault="002D3692" w:rsidP="00724FEF">
      <w:pPr>
        <w:spacing w:before="240" w:after="240"/>
        <w:jc w:val="both"/>
        <w:rPr>
          <w:rFonts w:ascii="Calibri" w:eastAsia="Calibri" w:hAnsi="Calibri" w:cs="Calibri"/>
        </w:rPr>
      </w:pPr>
      <w:r>
        <w:rPr>
          <w:rFonts w:ascii="Calibri" w:eastAsia="Calibri" w:hAnsi="Calibri" w:cs="Calibri"/>
        </w:rPr>
        <w:t xml:space="preserve">Bij te nemen </w:t>
      </w:r>
      <w:r w:rsidR="002A64E5" w:rsidRPr="002D3692">
        <w:rPr>
          <w:rFonts w:ascii="Calibri" w:eastAsia="Calibri" w:hAnsi="Calibri" w:cs="Calibri"/>
        </w:rPr>
        <w:t xml:space="preserve">maatregelen </w:t>
      </w:r>
      <w:r>
        <w:rPr>
          <w:rFonts w:ascii="Calibri" w:eastAsia="Calibri" w:hAnsi="Calibri" w:cs="Calibri"/>
        </w:rPr>
        <w:t xml:space="preserve">kan worden gedacht aan </w:t>
      </w:r>
      <w:r w:rsidR="002A64E5" w:rsidRPr="002D3692">
        <w:rPr>
          <w:rFonts w:ascii="Calibri" w:eastAsia="Calibri" w:hAnsi="Calibri" w:cs="Calibri"/>
        </w:rPr>
        <w:t xml:space="preserve">“protest, </w:t>
      </w:r>
      <w:proofErr w:type="spellStart"/>
      <w:r w:rsidR="002A64E5" w:rsidRPr="002D3692">
        <w:rPr>
          <w:rFonts w:ascii="Calibri" w:eastAsia="Calibri" w:hAnsi="Calibri" w:cs="Calibri"/>
        </w:rPr>
        <w:t>criticism</w:t>
      </w:r>
      <w:proofErr w:type="spellEnd"/>
      <w:r w:rsidR="002A64E5" w:rsidRPr="002D3692">
        <w:rPr>
          <w:rFonts w:ascii="Calibri" w:eastAsia="Calibri" w:hAnsi="Calibri" w:cs="Calibri"/>
        </w:rPr>
        <w:t xml:space="preserve">, </w:t>
      </w:r>
      <w:proofErr w:type="spellStart"/>
      <w:r w:rsidR="002A64E5" w:rsidRPr="002D3692">
        <w:rPr>
          <w:rFonts w:ascii="Calibri" w:eastAsia="Calibri" w:hAnsi="Calibri" w:cs="Calibri"/>
        </w:rPr>
        <w:t>retorsions</w:t>
      </w:r>
      <w:proofErr w:type="spellEnd"/>
      <w:r w:rsidR="002A64E5" w:rsidRPr="002D3692">
        <w:rPr>
          <w:rFonts w:ascii="Calibri" w:eastAsia="Calibri" w:hAnsi="Calibri" w:cs="Calibri"/>
        </w:rPr>
        <w:t xml:space="preserve"> or even non-military </w:t>
      </w:r>
      <w:proofErr w:type="spellStart"/>
      <w:r w:rsidR="002A64E5" w:rsidRPr="002D3692">
        <w:rPr>
          <w:rFonts w:ascii="Calibri" w:eastAsia="Calibri" w:hAnsi="Calibri" w:cs="Calibri"/>
        </w:rPr>
        <w:t>reprisals</w:t>
      </w:r>
      <w:proofErr w:type="spellEnd"/>
      <w:r w:rsidR="002A64E5" w:rsidRPr="009B35C4">
        <w:rPr>
          <w:rFonts w:ascii="Calibri" w:eastAsia="Calibri" w:hAnsi="Calibri" w:cs="Calibri"/>
        </w:rPr>
        <w:t>”.</w:t>
      </w:r>
      <w:r w:rsidR="002A64E5" w:rsidRPr="009B35C4">
        <w:rPr>
          <w:rStyle w:val="Voetnootmarkering"/>
          <w:rFonts w:ascii="Calibri" w:eastAsia="Calibri" w:hAnsi="Calibri" w:cs="Calibri"/>
        </w:rPr>
        <w:footnoteReference w:id="85"/>
      </w:r>
    </w:p>
    <w:p w14:paraId="10120445" w14:textId="414F1712" w:rsidR="002A64E5" w:rsidRDefault="002A64E5" w:rsidP="00724FEF">
      <w:pPr>
        <w:spacing w:before="240" w:after="240"/>
        <w:jc w:val="both"/>
        <w:rPr>
          <w:rFonts w:ascii="Calibri" w:eastAsia="Calibri" w:hAnsi="Calibri" w:cs="Calibri"/>
        </w:rPr>
      </w:pPr>
      <w:r w:rsidRPr="00494E8D">
        <w:rPr>
          <w:rFonts w:ascii="Calibri" w:eastAsia="Calibri" w:hAnsi="Calibri" w:cs="Calibri"/>
        </w:rPr>
        <w:t xml:space="preserve">Het nalaten van het nemen van maatregelen zal alleen leiden tot de internationale </w:t>
      </w:r>
      <w:r w:rsidR="006E52D1">
        <w:rPr>
          <w:rFonts w:ascii="Calibri" w:eastAsia="Calibri" w:hAnsi="Calibri" w:cs="Calibri"/>
        </w:rPr>
        <w:t xml:space="preserve">aansprakelijkheid </w:t>
      </w:r>
      <w:r w:rsidRPr="00494E8D">
        <w:rPr>
          <w:rFonts w:ascii="Calibri" w:eastAsia="Calibri" w:hAnsi="Calibri" w:cs="Calibri"/>
        </w:rPr>
        <w:t xml:space="preserve">van de derde Staat wanneer zijn gedrag </w:t>
      </w:r>
      <w:r w:rsidRPr="00F93E5B">
        <w:rPr>
          <w:rFonts w:ascii="Calibri" w:eastAsia="Calibri" w:hAnsi="Calibri" w:cs="Calibri"/>
        </w:rPr>
        <w:t xml:space="preserve">niet als </w:t>
      </w:r>
      <w:r w:rsidR="00A55CFE">
        <w:rPr>
          <w:rFonts w:ascii="Calibri" w:eastAsia="Calibri" w:hAnsi="Calibri" w:cs="Calibri"/>
        </w:rPr>
        <w:t xml:space="preserve">rechtmatig </w:t>
      </w:r>
      <w:r w:rsidRPr="009B0E56">
        <w:rPr>
          <w:rFonts w:ascii="Calibri" w:eastAsia="Calibri" w:hAnsi="Calibri" w:cs="Calibri"/>
        </w:rPr>
        <w:t xml:space="preserve">kan worden beschouwd. Wat moet worden aangetoond, is de inconsistentie tussen het daadwerkelijke gedrag van de Staat en het gedrag dat vereist wordt volgens de </w:t>
      </w:r>
      <w:r w:rsidRPr="00F93E5B">
        <w:rPr>
          <w:rFonts w:ascii="Calibri" w:eastAsia="Calibri" w:hAnsi="Calibri" w:cs="Calibri"/>
        </w:rPr>
        <w:t>norm</w:t>
      </w:r>
      <w:r w:rsidRPr="009B0E56">
        <w:rPr>
          <w:rFonts w:ascii="Calibri" w:eastAsia="Calibri" w:hAnsi="Calibri" w:cs="Calibri"/>
        </w:rPr>
        <w:t>.</w:t>
      </w:r>
      <w:r w:rsidRPr="009B0E56">
        <w:rPr>
          <w:rStyle w:val="Voetnootmarkering"/>
          <w:rFonts w:ascii="Calibri" w:eastAsia="Calibri" w:hAnsi="Calibri" w:cs="Calibri"/>
        </w:rPr>
        <w:footnoteReference w:id="86"/>
      </w:r>
    </w:p>
    <w:p w14:paraId="642F5D3B" w14:textId="77777777" w:rsidR="00475FCA" w:rsidRPr="00494E8D" w:rsidRDefault="00475FCA" w:rsidP="00724FEF">
      <w:pPr>
        <w:spacing w:before="240" w:after="240"/>
        <w:jc w:val="both"/>
        <w:rPr>
          <w:rFonts w:ascii="Calibri" w:eastAsia="Calibri" w:hAnsi="Calibri" w:cs="Calibri"/>
        </w:rPr>
      </w:pPr>
    </w:p>
    <w:p w14:paraId="1E3A78A0" w14:textId="77777777" w:rsidR="002A64E5" w:rsidRPr="00494E8D" w:rsidRDefault="002A64E5" w:rsidP="00724FEF">
      <w:pPr>
        <w:pStyle w:val="Kop3"/>
        <w:jc w:val="both"/>
        <w:rPr>
          <w:rFonts w:ascii="Calibri" w:eastAsia="Calibri" w:hAnsi="Calibri" w:cs="Calibri"/>
        </w:rPr>
      </w:pPr>
      <w:bookmarkStart w:id="23" w:name="_Toc185491858"/>
      <w:r w:rsidRPr="00494E8D">
        <w:t>Positieve verplichtingen</w:t>
      </w:r>
      <w:bookmarkEnd w:id="23"/>
    </w:p>
    <w:p w14:paraId="44325662" w14:textId="1CC9F5DD" w:rsidR="002A64E5" w:rsidRPr="00494E8D" w:rsidRDefault="002A64E5" w:rsidP="00724FEF">
      <w:pPr>
        <w:spacing w:before="240" w:after="240"/>
        <w:jc w:val="both"/>
        <w:rPr>
          <w:rFonts w:ascii="Calibri" w:eastAsia="Calibri" w:hAnsi="Calibri" w:cs="Calibri"/>
        </w:rPr>
      </w:pPr>
      <w:r w:rsidRPr="00494E8D">
        <w:rPr>
          <w:rFonts w:ascii="Calibri" w:eastAsia="Calibri" w:hAnsi="Calibri" w:cs="Calibri"/>
        </w:rPr>
        <w:t xml:space="preserve">Staten </w:t>
      </w:r>
      <w:r w:rsidR="008971E1">
        <w:rPr>
          <w:rFonts w:ascii="Calibri" w:eastAsia="Calibri" w:hAnsi="Calibri" w:cs="Calibri"/>
        </w:rPr>
        <w:t xml:space="preserve">hebben </w:t>
      </w:r>
      <w:r w:rsidRPr="00494E8D">
        <w:rPr>
          <w:rFonts w:ascii="Calibri" w:eastAsia="Calibri" w:hAnsi="Calibri" w:cs="Calibri"/>
        </w:rPr>
        <w:t>de plicht om hun invloed uit te oefenen en passende maatregelen te nemen om een einde te maken aan voortdurende schendingen van het internationaal humanitair recht. Dit aspect van art</w:t>
      </w:r>
      <w:r w:rsidR="00443BDC">
        <w:rPr>
          <w:rFonts w:ascii="Calibri" w:eastAsia="Calibri" w:hAnsi="Calibri" w:cs="Calibri"/>
        </w:rPr>
        <w:t>ikel</w:t>
      </w:r>
      <w:r w:rsidRPr="00494E8D">
        <w:rPr>
          <w:rFonts w:ascii="Calibri" w:eastAsia="Calibri" w:hAnsi="Calibri" w:cs="Calibri"/>
        </w:rPr>
        <w:t xml:space="preserve"> 1 GC vormt de basis voor Regel 144, zoals geïdentificeerd in de ICRC </w:t>
      </w:r>
      <w:proofErr w:type="spellStart"/>
      <w:r w:rsidRPr="00494E8D">
        <w:rPr>
          <w:rFonts w:ascii="Calibri" w:eastAsia="Calibri" w:hAnsi="Calibri" w:cs="Calibri"/>
        </w:rPr>
        <w:t>Customary</w:t>
      </w:r>
      <w:proofErr w:type="spellEnd"/>
      <w:r w:rsidRPr="00494E8D">
        <w:rPr>
          <w:rFonts w:ascii="Calibri" w:eastAsia="Calibri" w:hAnsi="Calibri" w:cs="Calibri"/>
        </w:rPr>
        <w:t xml:space="preserve"> </w:t>
      </w:r>
      <w:proofErr w:type="spellStart"/>
      <w:r w:rsidRPr="00494E8D">
        <w:rPr>
          <w:rFonts w:ascii="Calibri" w:eastAsia="Calibri" w:hAnsi="Calibri" w:cs="Calibri"/>
        </w:rPr>
        <w:t>Law</w:t>
      </w:r>
      <w:proofErr w:type="spellEnd"/>
      <w:r w:rsidRPr="00494E8D">
        <w:rPr>
          <w:rFonts w:ascii="Calibri" w:eastAsia="Calibri" w:hAnsi="Calibri" w:cs="Calibri"/>
        </w:rPr>
        <w:t xml:space="preserve"> </w:t>
      </w:r>
      <w:proofErr w:type="spellStart"/>
      <w:r w:rsidRPr="00494E8D">
        <w:rPr>
          <w:rFonts w:ascii="Calibri" w:eastAsia="Calibri" w:hAnsi="Calibri" w:cs="Calibri"/>
        </w:rPr>
        <w:t>Study</w:t>
      </w:r>
      <w:proofErr w:type="spellEnd"/>
      <w:r w:rsidRPr="00494E8D">
        <w:rPr>
          <w:rFonts w:ascii="Calibri" w:eastAsia="Calibri" w:hAnsi="Calibri" w:cs="Calibri"/>
        </w:rPr>
        <w:t>, die onder andere bepaalt dat Staten “hun invloed moeten uitoefenen, voor zover mogelijk, om schendingen van het internationaal humanitair recht te stoppen.”</w:t>
      </w:r>
      <w:r w:rsidRPr="00494E8D">
        <w:rPr>
          <w:rStyle w:val="Voetnootmarkering"/>
          <w:rFonts w:ascii="Calibri" w:eastAsia="Calibri" w:hAnsi="Calibri" w:cs="Calibri"/>
        </w:rPr>
        <w:footnoteReference w:id="87"/>
      </w:r>
    </w:p>
    <w:p w14:paraId="5A28D9A6" w14:textId="3A046D0C" w:rsidR="002A64E5" w:rsidRPr="00494E8D" w:rsidRDefault="008971E1" w:rsidP="00724FEF">
      <w:pPr>
        <w:spacing w:before="240" w:after="240"/>
        <w:jc w:val="both"/>
        <w:rPr>
          <w:rFonts w:ascii="Calibri" w:eastAsia="Calibri" w:hAnsi="Calibri" w:cs="Calibri"/>
        </w:rPr>
      </w:pPr>
      <w:r>
        <w:rPr>
          <w:rFonts w:ascii="Calibri" w:eastAsia="Calibri" w:hAnsi="Calibri" w:cs="Calibri"/>
        </w:rPr>
        <w:lastRenderedPageBreak/>
        <w:t>D</w:t>
      </w:r>
      <w:r w:rsidR="002A64E5" w:rsidRPr="00494E8D">
        <w:rPr>
          <w:rFonts w:ascii="Calibri" w:eastAsia="Calibri" w:hAnsi="Calibri" w:cs="Calibri"/>
        </w:rPr>
        <w:t>e externe dimensie van art</w:t>
      </w:r>
      <w:r w:rsidR="00443BDC">
        <w:rPr>
          <w:rFonts w:ascii="Calibri" w:eastAsia="Calibri" w:hAnsi="Calibri" w:cs="Calibri"/>
        </w:rPr>
        <w:t>ikel</w:t>
      </w:r>
      <w:r w:rsidR="002A64E5" w:rsidRPr="00494E8D">
        <w:rPr>
          <w:rFonts w:ascii="Calibri" w:eastAsia="Calibri" w:hAnsi="Calibri" w:cs="Calibri"/>
        </w:rPr>
        <w:t xml:space="preserve"> 1 </w:t>
      </w:r>
      <w:r>
        <w:rPr>
          <w:rFonts w:ascii="Calibri" w:eastAsia="Calibri" w:hAnsi="Calibri" w:cs="Calibri"/>
        </w:rPr>
        <w:t xml:space="preserve">bevat daarnaast </w:t>
      </w:r>
      <w:r w:rsidR="002A64E5" w:rsidRPr="00494E8D">
        <w:rPr>
          <w:rFonts w:ascii="Calibri" w:eastAsia="Calibri" w:hAnsi="Calibri" w:cs="Calibri"/>
        </w:rPr>
        <w:t>ook een preventie</w:t>
      </w:r>
      <w:r w:rsidR="0081447A">
        <w:rPr>
          <w:rFonts w:ascii="Calibri" w:eastAsia="Calibri" w:hAnsi="Calibri" w:cs="Calibri"/>
        </w:rPr>
        <w:t>ve</w:t>
      </w:r>
      <w:r w:rsidR="002A64E5" w:rsidRPr="00494E8D">
        <w:rPr>
          <w:rFonts w:ascii="Calibri" w:eastAsia="Calibri" w:hAnsi="Calibri" w:cs="Calibri"/>
        </w:rPr>
        <w:t xml:space="preserve"> component. Dit betekent dat derde Staten niet alleen de verplichting hebben om in te grijpen wanneer andere Staten het oorlogsrecht schenden, maar dat deze derde Staten ook de verplichting hebben om maatregelen te treffen om dergelijke schendingen van partijen in een conflict te voorkomen.</w:t>
      </w:r>
      <w:r w:rsidR="002A64E5" w:rsidRPr="00494E8D">
        <w:rPr>
          <w:rStyle w:val="Voetnootmarkering"/>
          <w:rFonts w:ascii="Calibri" w:eastAsia="Calibri" w:hAnsi="Calibri" w:cs="Calibri"/>
        </w:rPr>
        <w:footnoteReference w:id="88"/>
      </w:r>
      <w:r w:rsidR="002A64E5" w:rsidRPr="00494E8D">
        <w:rPr>
          <w:rFonts w:ascii="Calibri" w:eastAsia="Calibri" w:hAnsi="Calibri" w:cs="Calibri"/>
        </w:rPr>
        <w:t xml:space="preserve"> Zo stelt A. </w:t>
      </w:r>
      <w:proofErr w:type="spellStart"/>
      <w:r w:rsidR="002A64E5" w:rsidRPr="00494E8D">
        <w:rPr>
          <w:rFonts w:ascii="Calibri" w:eastAsia="Calibri" w:hAnsi="Calibri" w:cs="Calibri"/>
        </w:rPr>
        <w:t>Devillard</w:t>
      </w:r>
      <w:proofErr w:type="spellEnd"/>
      <w:r w:rsidR="002A64E5" w:rsidRPr="00494E8D">
        <w:rPr>
          <w:rFonts w:ascii="Calibri" w:eastAsia="Calibri" w:hAnsi="Calibri" w:cs="Calibri"/>
        </w:rPr>
        <w:t xml:space="preserve"> dat, hoewel het reageren op onrechtmatig gedrag, oftewel het stoppen van voortdurende schendingen van een regel, de “kern”  vormt van art</w:t>
      </w:r>
      <w:r w:rsidR="000D7101">
        <w:rPr>
          <w:rFonts w:ascii="Calibri" w:eastAsia="Calibri" w:hAnsi="Calibri" w:cs="Calibri"/>
        </w:rPr>
        <w:t>ikel</w:t>
      </w:r>
      <w:r w:rsidR="002A64E5" w:rsidRPr="00494E8D">
        <w:rPr>
          <w:rFonts w:ascii="Calibri" w:eastAsia="Calibri" w:hAnsi="Calibri" w:cs="Calibri"/>
        </w:rPr>
        <w:t xml:space="preserve"> 1, de rol van preventie niet mag worden verwaarloosd. Hij voegt eraan toe dat de gevolgen van IHR-schendingen vaak te ernstig zijn om simpelweg "interventies achteraf" te accepteren. Volgens </w:t>
      </w:r>
      <w:proofErr w:type="spellStart"/>
      <w:r w:rsidR="002A64E5" w:rsidRPr="00494E8D">
        <w:rPr>
          <w:rFonts w:ascii="Calibri" w:eastAsia="Calibri" w:hAnsi="Calibri" w:cs="Calibri"/>
        </w:rPr>
        <w:t>Devillard</w:t>
      </w:r>
      <w:proofErr w:type="spellEnd"/>
      <w:r w:rsidR="002A64E5" w:rsidRPr="00494E8D">
        <w:rPr>
          <w:rFonts w:ascii="Calibri" w:eastAsia="Calibri" w:hAnsi="Calibri" w:cs="Calibri"/>
        </w:rPr>
        <w:t xml:space="preserve"> kan een algemene preventieplicht voor derde Staten worden uitgesloten, maar </w:t>
      </w:r>
      <w:r w:rsidR="002A64E5" w:rsidRPr="00494E8D">
        <w:rPr>
          <w:rFonts w:ascii="Calibri" w:eastAsia="Calibri" w:hAnsi="Calibri" w:cs="Calibri"/>
          <w:u w:val="single"/>
        </w:rPr>
        <w:t>een verplichting om IHR-schendingen te voorkomen zou wel ontstaan in situaties waarin het risico op dergelijke schendingen redelijkerwijs kan worden voorzien</w:t>
      </w:r>
      <w:r w:rsidR="002A64E5" w:rsidRPr="00494E8D">
        <w:rPr>
          <w:rFonts w:ascii="Calibri" w:eastAsia="Calibri" w:hAnsi="Calibri" w:cs="Calibri"/>
        </w:rPr>
        <w:t>.</w:t>
      </w:r>
      <w:r w:rsidR="002A64E5" w:rsidRPr="00494E8D">
        <w:rPr>
          <w:rStyle w:val="Voetnootmarkering"/>
          <w:rFonts w:ascii="Calibri" w:eastAsia="Calibri" w:hAnsi="Calibri" w:cs="Calibri"/>
        </w:rPr>
        <w:footnoteReference w:id="89"/>
      </w:r>
      <w:r w:rsidR="002A64E5" w:rsidRPr="00494E8D">
        <w:rPr>
          <w:rFonts w:ascii="Calibri" w:eastAsia="Calibri" w:hAnsi="Calibri" w:cs="Calibri"/>
        </w:rPr>
        <w:t xml:space="preserve"> </w:t>
      </w:r>
    </w:p>
    <w:p w14:paraId="6C328C4B" w14:textId="77777777" w:rsidR="002A64E5" w:rsidRPr="00494E8D" w:rsidRDefault="002A64E5" w:rsidP="00724FEF">
      <w:pPr>
        <w:spacing w:before="240" w:after="240"/>
        <w:jc w:val="both"/>
        <w:rPr>
          <w:rFonts w:ascii="Calibri" w:eastAsia="Calibri" w:hAnsi="Calibri" w:cs="Calibri"/>
        </w:rPr>
      </w:pPr>
      <w:proofErr w:type="spellStart"/>
      <w:r w:rsidRPr="00494E8D">
        <w:rPr>
          <w:rFonts w:ascii="Calibri" w:eastAsia="Calibri" w:hAnsi="Calibri" w:cs="Calibri"/>
        </w:rPr>
        <w:t>Dörmann</w:t>
      </w:r>
      <w:proofErr w:type="spellEnd"/>
      <w:r w:rsidRPr="00494E8D">
        <w:rPr>
          <w:rFonts w:ascii="Calibri" w:eastAsia="Calibri" w:hAnsi="Calibri" w:cs="Calibri"/>
        </w:rPr>
        <w:t xml:space="preserve"> en </w:t>
      </w:r>
      <w:proofErr w:type="spellStart"/>
      <w:r w:rsidRPr="00494E8D">
        <w:rPr>
          <w:rFonts w:ascii="Calibri" w:eastAsia="Calibri" w:hAnsi="Calibri" w:cs="Calibri"/>
        </w:rPr>
        <w:t>Serralvo</w:t>
      </w:r>
      <w:proofErr w:type="spellEnd"/>
      <w:r w:rsidRPr="00494E8D">
        <w:rPr>
          <w:rFonts w:ascii="Calibri" w:eastAsia="Calibri" w:hAnsi="Calibri" w:cs="Calibri"/>
        </w:rPr>
        <w:t xml:space="preserve"> zijn het hiermee eens:</w:t>
      </w:r>
    </w:p>
    <w:p w14:paraId="6A3D1506" w14:textId="77777777" w:rsidR="002A64E5" w:rsidRPr="0007005C" w:rsidRDefault="002A64E5"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 xml:space="preserve">“It is not possible in abstract to elucidate the criteria under which nonbelligerent States could incur international responsibility for their failure to prevent the violation of IHL rules. At any rate, it is clear that this obligation, being one of due diligence, only arises in cases in which the prospective inobservance of IHL is marked by a certain degree of predictability. (...) </w:t>
      </w:r>
      <w:r w:rsidRPr="0007005C">
        <w:rPr>
          <w:rFonts w:ascii="Calibri" w:eastAsia="Calibri" w:hAnsi="Calibri" w:cs="Calibri"/>
          <w:u w:val="single"/>
          <w:lang w:val="en-US"/>
        </w:rPr>
        <w:t>Indeed, under international law, due diligence obligations involving the need to prevent a particular event can only be triggered if the event in question is actually foreseeable</w:t>
      </w:r>
      <w:r w:rsidRPr="0007005C">
        <w:rPr>
          <w:rFonts w:ascii="Calibri" w:eastAsia="Calibri" w:hAnsi="Calibri" w:cs="Calibri"/>
          <w:lang w:val="en-US"/>
        </w:rPr>
        <w:t>.”</w:t>
      </w:r>
      <w:r w:rsidRPr="00494E8D">
        <w:rPr>
          <w:rStyle w:val="Voetnootmarkering"/>
          <w:rFonts w:ascii="Calibri" w:eastAsia="Calibri" w:hAnsi="Calibri" w:cs="Calibri"/>
        </w:rPr>
        <w:footnoteReference w:id="90"/>
      </w:r>
    </w:p>
    <w:p w14:paraId="2E843C20" w14:textId="3192D6C0" w:rsidR="002A64E5" w:rsidRDefault="002A64E5" w:rsidP="00724FEF">
      <w:pPr>
        <w:spacing w:before="240" w:after="240"/>
        <w:jc w:val="both"/>
        <w:rPr>
          <w:rFonts w:ascii="Calibri" w:eastAsia="Calibri" w:hAnsi="Calibri" w:cs="Calibri"/>
        </w:rPr>
      </w:pPr>
      <w:proofErr w:type="spellStart"/>
      <w:r w:rsidRPr="00494E8D">
        <w:rPr>
          <w:rFonts w:ascii="Calibri" w:eastAsia="Calibri" w:hAnsi="Calibri" w:cs="Calibri"/>
        </w:rPr>
        <w:t>Dörmann</w:t>
      </w:r>
      <w:proofErr w:type="spellEnd"/>
      <w:r w:rsidRPr="00494E8D">
        <w:rPr>
          <w:rFonts w:ascii="Calibri" w:eastAsia="Calibri" w:hAnsi="Calibri" w:cs="Calibri"/>
        </w:rPr>
        <w:t xml:space="preserve"> en </w:t>
      </w:r>
      <w:proofErr w:type="spellStart"/>
      <w:r w:rsidRPr="00494E8D">
        <w:rPr>
          <w:rFonts w:ascii="Calibri" w:eastAsia="Calibri" w:hAnsi="Calibri" w:cs="Calibri"/>
        </w:rPr>
        <w:t>Serralvo</w:t>
      </w:r>
      <w:proofErr w:type="spellEnd"/>
      <w:r w:rsidRPr="00494E8D">
        <w:rPr>
          <w:rFonts w:ascii="Calibri" w:eastAsia="Calibri" w:hAnsi="Calibri" w:cs="Calibri"/>
        </w:rPr>
        <w:t xml:space="preserve"> concluderen dat art</w:t>
      </w:r>
      <w:r w:rsidR="002A79DD">
        <w:rPr>
          <w:rFonts w:ascii="Calibri" w:eastAsia="Calibri" w:hAnsi="Calibri" w:cs="Calibri"/>
        </w:rPr>
        <w:t>ikel</w:t>
      </w:r>
      <w:r w:rsidRPr="00494E8D">
        <w:rPr>
          <w:rFonts w:ascii="Calibri" w:eastAsia="Calibri" w:hAnsi="Calibri" w:cs="Calibri"/>
        </w:rPr>
        <w:t xml:space="preserve"> 1 GC op zichzelf moet worden ingeroepen telkens wanneer dit bijdraagt aan het waarborgen van respect voor de Geneefse Conventies, en mogelijk voor het gehele corpus van het internationaal humanitair recht, ook wanneer het gaat om de verplichting om schendingen van de regels te voorkomen</w:t>
      </w:r>
      <w:r w:rsidR="00FB309C">
        <w:rPr>
          <w:rFonts w:ascii="Calibri" w:eastAsia="Calibri" w:hAnsi="Calibri" w:cs="Calibri"/>
        </w:rPr>
        <w:t>.</w:t>
      </w:r>
    </w:p>
    <w:p w14:paraId="22587BBB" w14:textId="77777777" w:rsidR="00FB309C" w:rsidRPr="00494E8D" w:rsidRDefault="00FB309C" w:rsidP="00724FEF">
      <w:pPr>
        <w:spacing w:before="240" w:after="240"/>
        <w:jc w:val="both"/>
        <w:rPr>
          <w:rFonts w:ascii="Calibri" w:eastAsia="Calibri" w:hAnsi="Calibri" w:cs="Calibri"/>
        </w:rPr>
      </w:pPr>
    </w:p>
    <w:p w14:paraId="5D64A228" w14:textId="77777777" w:rsidR="00A82E94" w:rsidRPr="00494E8D" w:rsidRDefault="00A82E94" w:rsidP="00724FEF">
      <w:pPr>
        <w:pStyle w:val="Kop3"/>
        <w:jc w:val="both"/>
      </w:pPr>
      <w:bookmarkStart w:id="24" w:name="_Toc185491859"/>
      <w:r w:rsidRPr="00494E8D">
        <w:t>Verbod op wapens die geen onderscheid maken tussen civiele en militaire doelen</w:t>
      </w:r>
      <w:bookmarkEnd w:id="24"/>
    </w:p>
    <w:p w14:paraId="18393A89" w14:textId="14C5357A" w:rsidR="002A64E5" w:rsidRPr="00494E8D" w:rsidRDefault="002A64E5" w:rsidP="00724FEF">
      <w:pPr>
        <w:spacing w:before="240" w:after="240"/>
        <w:jc w:val="both"/>
        <w:rPr>
          <w:rFonts w:ascii="Calibri" w:eastAsia="Calibri" w:hAnsi="Calibri" w:cs="Calibri"/>
        </w:rPr>
      </w:pPr>
      <w:r w:rsidRPr="00494E8D">
        <w:rPr>
          <w:rFonts w:ascii="Calibri" w:eastAsia="Calibri" w:hAnsi="Calibri" w:cs="Calibri"/>
        </w:rPr>
        <w:t xml:space="preserve">Ook los van </w:t>
      </w:r>
      <w:r w:rsidR="00A73BBF">
        <w:rPr>
          <w:rFonts w:ascii="Calibri" w:eastAsia="Calibri" w:hAnsi="Calibri" w:cs="Calibri"/>
        </w:rPr>
        <w:t>de</w:t>
      </w:r>
      <w:r w:rsidRPr="00494E8D">
        <w:rPr>
          <w:rFonts w:ascii="Calibri" w:eastAsia="Calibri" w:hAnsi="Calibri" w:cs="Calibri"/>
        </w:rPr>
        <w:t xml:space="preserve"> CCM </w:t>
      </w:r>
      <w:r>
        <w:rPr>
          <w:rFonts w:ascii="Calibri" w:eastAsia="Calibri" w:hAnsi="Calibri" w:cs="Calibri"/>
        </w:rPr>
        <w:t>kan</w:t>
      </w:r>
      <w:r w:rsidRPr="00494E8D">
        <w:rPr>
          <w:rFonts w:ascii="Calibri" w:eastAsia="Calibri" w:hAnsi="Calibri" w:cs="Calibri"/>
        </w:rPr>
        <w:t xml:space="preserve"> het gebruik van clustermunitie verboden</w:t>
      </w:r>
      <w:r>
        <w:rPr>
          <w:rFonts w:ascii="Calibri" w:eastAsia="Calibri" w:hAnsi="Calibri" w:cs="Calibri"/>
        </w:rPr>
        <w:t xml:space="preserve"> zijn</w:t>
      </w:r>
      <w:r w:rsidRPr="00494E8D">
        <w:rPr>
          <w:rFonts w:ascii="Calibri" w:eastAsia="Calibri" w:hAnsi="Calibri" w:cs="Calibri"/>
        </w:rPr>
        <w:t>. HRW benadrukt daarbij dat, hoewel Oekraïne geen partij is bij de CCM, het gebruik van clustermunitie in gebieden met burgers  geen onderscheid maakt en daarom in strijd is met het IHR</w:t>
      </w:r>
      <w:r>
        <w:rPr>
          <w:rFonts w:ascii="Calibri" w:eastAsia="Calibri" w:hAnsi="Calibri" w:cs="Calibri"/>
        </w:rPr>
        <w:t>.</w:t>
      </w:r>
      <w:r w:rsidRPr="00494E8D">
        <w:rPr>
          <w:rStyle w:val="Voetnootmarkering"/>
          <w:rFonts w:ascii="Calibri" w:eastAsia="Calibri" w:hAnsi="Calibri" w:cs="Calibri"/>
        </w:rPr>
        <w:footnoteReference w:id="91"/>
      </w:r>
      <w:r>
        <w:rPr>
          <w:rFonts w:ascii="Calibri" w:eastAsia="Calibri" w:hAnsi="Calibri" w:cs="Calibri"/>
        </w:rPr>
        <w:t xml:space="preserve"> </w:t>
      </w:r>
      <w:r w:rsidRPr="00494E8D">
        <w:rPr>
          <w:rFonts w:ascii="Calibri" w:eastAsia="Calibri" w:hAnsi="Calibri" w:cs="Calibri"/>
        </w:rPr>
        <w:t>Zo schrijft H</w:t>
      </w:r>
      <w:r w:rsidR="00611532">
        <w:rPr>
          <w:rFonts w:ascii="Calibri" w:eastAsia="Calibri" w:hAnsi="Calibri" w:cs="Calibri"/>
        </w:rPr>
        <w:t>RW</w:t>
      </w:r>
      <w:r w:rsidRPr="00494E8D">
        <w:rPr>
          <w:rFonts w:ascii="Calibri" w:eastAsia="Calibri" w:hAnsi="Calibri" w:cs="Calibri"/>
        </w:rPr>
        <w:t xml:space="preserve"> dat aanvallen met clustermunitie het potentieel hebben om </w:t>
      </w:r>
      <w:r w:rsidRPr="00494E8D">
        <w:rPr>
          <w:rFonts w:ascii="Calibri" w:eastAsia="Calibri" w:hAnsi="Calibri" w:cs="Calibri"/>
          <w:i/>
          <w:iCs/>
        </w:rPr>
        <w:t>'</w:t>
      </w:r>
      <w:proofErr w:type="spellStart"/>
      <w:r w:rsidRPr="00494E8D">
        <w:rPr>
          <w:rFonts w:ascii="Calibri" w:eastAsia="Calibri" w:hAnsi="Calibri" w:cs="Calibri"/>
          <w:i/>
          <w:iCs/>
        </w:rPr>
        <w:t>indiscriminate</w:t>
      </w:r>
      <w:proofErr w:type="spellEnd"/>
      <w:r w:rsidRPr="00494E8D">
        <w:rPr>
          <w:rFonts w:ascii="Calibri" w:eastAsia="Calibri" w:hAnsi="Calibri" w:cs="Calibri"/>
          <w:i/>
          <w:iCs/>
        </w:rPr>
        <w:t xml:space="preserve">’ </w:t>
      </w:r>
      <w:r w:rsidRPr="00494E8D">
        <w:rPr>
          <w:rFonts w:ascii="Calibri" w:eastAsia="Calibri" w:hAnsi="Calibri" w:cs="Calibri"/>
        </w:rPr>
        <w:t xml:space="preserve">te zijn en dus geen onderscheid maken tussen burgers of burgerdoelen en militaire doelen, omdat de wapens niet nauwkeurig kunnen worden </w:t>
      </w:r>
      <w:r w:rsidRPr="00494E8D">
        <w:rPr>
          <w:rFonts w:ascii="Calibri" w:eastAsia="Calibri" w:hAnsi="Calibri" w:cs="Calibri"/>
        </w:rPr>
        <w:lastRenderedPageBreak/>
        <w:t>gericht.</w:t>
      </w:r>
      <w:r w:rsidRPr="00494E8D">
        <w:rPr>
          <w:rStyle w:val="Voetnootmarkering"/>
          <w:rFonts w:ascii="Calibri" w:eastAsia="Calibri" w:hAnsi="Calibri" w:cs="Calibri"/>
        </w:rPr>
        <w:footnoteReference w:id="92"/>
      </w:r>
      <w:r w:rsidRPr="00494E8D">
        <w:rPr>
          <w:rFonts w:ascii="Calibri" w:eastAsia="Calibri" w:hAnsi="Calibri" w:cs="Calibri"/>
        </w:rPr>
        <w:t xml:space="preserve"> Ook de Nederlandse Staat benadrukt dit.</w:t>
      </w:r>
      <w:r w:rsidRPr="00494E8D">
        <w:rPr>
          <w:rStyle w:val="Voetnootmarkering"/>
          <w:rFonts w:ascii="Calibri" w:eastAsia="Calibri" w:hAnsi="Calibri" w:cs="Calibri"/>
        </w:rPr>
        <w:footnoteReference w:id="93"/>
      </w:r>
      <w:r w:rsidRPr="00494E8D">
        <w:rPr>
          <w:rFonts w:ascii="Calibri" w:eastAsia="Calibri" w:hAnsi="Calibri" w:cs="Calibri"/>
        </w:rPr>
        <w:t xml:space="preserve"> Art. 51 lid 4 sub b van het eerste Aanvullend Protocol bij de Geneefse Conventies (AP I) verbiedt dergelijke aanvallen:</w:t>
      </w:r>
    </w:p>
    <w:p w14:paraId="668760CD" w14:textId="77777777" w:rsidR="002A64E5" w:rsidRPr="0007005C" w:rsidRDefault="002A64E5"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“indiscriminate attacks (...) which employ a method or means of combat which cannot be directed at a specific military objective (...) and consequently, in each such case, are of a nature to strike military objectives and civilians or civilian objects without distinction.”</w:t>
      </w:r>
    </w:p>
    <w:p w14:paraId="61454CB3" w14:textId="552FEBCD" w:rsidR="002A64E5" w:rsidRDefault="00AC6ACE" w:rsidP="00724FEF">
      <w:pPr>
        <w:spacing w:before="240" w:after="240"/>
        <w:jc w:val="both"/>
        <w:rPr>
          <w:rFonts w:ascii="Calibri" w:eastAsia="Calibri" w:hAnsi="Calibri" w:cs="Calibri"/>
        </w:rPr>
      </w:pPr>
      <w:r w:rsidRPr="00494E8D">
        <w:rPr>
          <w:rFonts w:ascii="Calibri" w:eastAsia="Calibri" w:hAnsi="Calibri" w:cs="Calibri"/>
        </w:rPr>
        <w:t xml:space="preserve">In een advies van de Raad van State merkt </w:t>
      </w:r>
      <w:r>
        <w:rPr>
          <w:rFonts w:ascii="Calibri" w:eastAsia="Calibri" w:hAnsi="Calibri" w:cs="Calibri"/>
        </w:rPr>
        <w:t xml:space="preserve">het </w:t>
      </w:r>
      <w:r w:rsidRPr="00494E8D">
        <w:rPr>
          <w:rFonts w:ascii="Calibri" w:eastAsia="Calibri" w:hAnsi="Calibri" w:cs="Calibri"/>
        </w:rPr>
        <w:t>met betrekking tot het inzetten van clustermunitie middels bepaalde wapensystemen op dat: “ieder gebruik van wapensystemen [dient] binnen de grenzen van het oorlogsrecht te blijven”.</w:t>
      </w:r>
      <w:r w:rsidRPr="00494E8D">
        <w:rPr>
          <w:rStyle w:val="Voetnootmarkering"/>
          <w:rFonts w:ascii="Calibri" w:eastAsia="Calibri" w:hAnsi="Calibri" w:cs="Calibri"/>
        </w:rPr>
        <w:footnoteReference w:id="94"/>
      </w:r>
      <w:r w:rsidRPr="00494E8D">
        <w:rPr>
          <w:rFonts w:ascii="Calibri" w:eastAsia="Calibri" w:hAnsi="Calibri" w:cs="Calibri"/>
        </w:rPr>
        <w:t xml:space="preserve"> Ook art. 21 lid 3 schrijft voor dat militaire samenwerking met een niet-verdragsstaat binnen de grenzen van het internationaal recht moet blijven, waaronder dus ook het internationaal humanitair recht</w:t>
      </w:r>
      <w:r>
        <w:rPr>
          <w:rFonts w:ascii="Calibri" w:eastAsia="Calibri" w:hAnsi="Calibri" w:cs="Calibri"/>
        </w:rPr>
        <w:t>.</w:t>
      </w:r>
    </w:p>
    <w:p w14:paraId="51EFD332" w14:textId="3A3EBB62" w:rsidR="00752718" w:rsidRDefault="00752718" w:rsidP="00724FEF">
      <w:pPr>
        <w:spacing w:before="240" w:after="240"/>
        <w:jc w:val="both"/>
        <w:rPr>
          <w:rFonts w:ascii="Calibri" w:eastAsia="Calibri" w:hAnsi="Calibri" w:cs="Calibri"/>
        </w:rPr>
      </w:pPr>
      <w:r>
        <w:rPr>
          <w:rFonts w:ascii="Calibri" w:eastAsia="Calibri" w:hAnsi="Calibri" w:cs="Calibri"/>
        </w:rPr>
        <w:t xml:space="preserve">Nederland heeft de voorwaarde verbonden dat het oorlogsrecht </w:t>
      </w:r>
      <w:r w:rsidR="00C76C55">
        <w:rPr>
          <w:rFonts w:ascii="Calibri" w:eastAsia="Calibri" w:hAnsi="Calibri" w:cs="Calibri"/>
        </w:rPr>
        <w:t>moet worden</w:t>
      </w:r>
      <w:r>
        <w:rPr>
          <w:rFonts w:ascii="Calibri" w:eastAsia="Calibri" w:hAnsi="Calibri" w:cs="Calibri"/>
        </w:rPr>
        <w:t xml:space="preserve"> gerespecteerd bij het gebruik van F-16</w:t>
      </w:r>
      <w:r w:rsidR="00C76C55">
        <w:rPr>
          <w:rFonts w:ascii="Calibri" w:eastAsia="Calibri" w:hAnsi="Calibri" w:cs="Calibri"/>
        </w:rPr>
        <w:t>’</w:t>
      </w:r>
      <w:r>
        <w:rPr>
          <w:rFonts w:ascii="Calibri" w:eastAsia="Calibri" w:hAnsi="Calibri" w:cs="Calibri"/>
        </w:rPr>
        <w:t>s</w:t>
      </w:r>
      <w:r w:rsidR="00C76C55">
        <w:rPr>
          <w:rFonts w:ascii="Calibri" w:eastAsia="Calibri" w:hAnsi="Calibri" w:cs="Calibri"/>
        </w:rPr>
        <w:t xml:space="preserve"> door Oekraïne</w:t>
      </w:r>
      <w:r>
        <w:rPr>
          <w:rFonts w:ascii="Calibri" w:eastAsia="Calibri" w:hAnsi="Calibri" w:cs="Calibri"/>
        </w:rPr>
        <w:t>.</w:t>
      </w:r>
    </w:p>
    <w:p w14:paraId="4149266D" w14:textId="3285762E" w:rsidR="00A82E94" w:rsidRDefault="007D3FC9" w:rsidP="00724FEF">
      <w:pPr>
        <w:spacing w:before="240" w:after="240"/>
        <w:jc w:val="both"/>
        <w:rPr>
          <w:rFonts w:ascii="Calibri" w:eastAsia="Calibri" w:hAnsi="Calibri" w:cs="Calibri"/>
        </w:rPr>
      </w:pPr>
      <w:r w:rsidRPr="00264A7B">
        <w:rPr>
          <w:rFonts w:ascii="Calibri" w:eastAsia="Calibri" w:hAnsi="Calibri" w:cs="Calibri"/>
        </w:rPr>
        <w:t>Als het risico op schendingen van</w:t>
      </w:r>
      <w:r w:rsidR="002C5180" w:rsidRPr="00264A7B">
        <w:rPr>
          <w:rFonts w:ascii="Calibri" w:eastAsia="Calibri" w:hAnsi="Calibri" w:cs="Calibri"/>
        </w:rPr>
        <w:t xml:space="preserve"> internationaal humanitair recht </w:t>
      </w:r>
      <w:r w:rsidRPr="00264A7B">
        <w:rPr>
          <w:rFonts w:ascii="Calibri" w:eastAsia="Calibri" w:hAnsi="Calibri" w:cs="Calibri"/>
        </w:rPr>
        <w:t>redelijkerwijs kan worden voorzien</w:t>
      </w:r>
      <w:r w:rsidR="007E4CEA" w:rsidRPr="00264A7B">
        <w:rPr>
          <w:rFonts w:ascii="Calibri" w:eastAsia="Calibri" w:hAnsi="Calibri" w:cs="Calibri"/>
        </w:rPr>
        <w:t>,</w:t>
      </w:r>
      <w:r w:rsidR="002C5180" w:rsidRPr="00264A7B">
        <w:rPr>
          <w:rFonts w:ascii="Calibri" w:eastAsia="Calibri" w:hAnsi="Calibri" w:cs="Calibri"/>
        </w:rPr>
        <w:t xml:space="preserve"> brengt dit een verplichting </w:t>
      </w:r>
      <w:r w:rsidR="007E43FD" w:rsidRPr="00264A7B">
        <w:rPr>
          <w:rFonts w:ascii="Calibri" w:eastAsia="Calibri" w:hAnsi="Calibri" w:cs="Calibri"/>
        </w:rPr>
        <w:t xml:space="preserve">met zich mee onder artikel 1 GC voor </w:t>
      </w:r>
      <w:r w:rsidR="00A01866" w:rsidRPr="00264A7B">
        <w:rPr>
          <w:rFonts w:ascii="Calibri" w:eastAsia="Calibri" w:hAnsi="Calibri" w:cs="Calibri"/>
        </w:rPr>
        <w:t xml:space="preserve">de </w:t>
      </w:r>
      <w:r w:rsidR="002C5180" w:rsidRPr="00264A7B">
        <w:rPr>
          <w:rFonts w:ascii="Calibri" w:eastAsia="Calibri" w:hAnsi="Calibri" w:cs="Calibri"/>
        </w:rPr>
        <w:t>Staat</w:t>
      </w:r>
      <w:r w:rsidR="00A01866" w:rsidRPr="00264A7B">
        <w:rPr>
          <w:rFonts w:ascii="Calibri" w:eastAsia="Calibri" w:hAnsi="Calibri" w:cs="Calibri"/>
        </w:rPr>
        <w:t xml:space="preserve"> tot het</w:t>
      </w:r>
      <w:r w:rsidR="002C5180" w:rsidRPr="00264A7B">
        <w:rPr>
          <w:rFonts w:ascii="Calibri" w:eastAsia="Calibri" w:hAnsi="Calibri" w:cs="Calibri"/>
        </w:rPr>
        <w:t xml:space="preserve"> </w:t>
      </w:r>
      <w:r w:rsidR="00A01866" w:rsidRPr="00264A7B">
        <w:rPr>
          <w:rFonts w:ascii="Calibri" w:eastAsia="Calibri" w:hAnsi="Calibri" w:cs="Calibri"/>
        </w:rPr>
        <w:t xml:space="preserve">treffen van maatregelen om dergelijke schendingen te voorkomen. </w:t>
      </w:r>
      <w:r w:rsidR="00B126E2" w:rsidRPr="00264A7B">
        <w:rPr>
          <w:rFonts w:ascii="Calibri" w:eastAsia="Calibri" w:hAnsi="Calibri" w:cs="Calibri"/>
        </w:rPr>
        <w:t xml:space="preserve">Een dergelijke maatregel kan zijn het verbinden van een voorwaarde </w:t>
      </w:r>
      <w:r w:rsidR="00B126E2" w:rsidRPr="0075166B">
        <w:rPr>
          <w:rFonts w:ascii="Calibri" w:eastAsia="Calibri" w:hAnsi="Calibri" w:cs="Calibri"/>
        </w:rPr>
        <w:t>aan het gebruik</w:t>
      </w:r>
      <w:r w:rsidR="00264A7B" w:rsidRPr="0075166B">
        <w:rPr>
          <w:rFonts w:ascii="Calibri" w:eastAsia="Calibri" w:hAnsi="Calibri" w:cs="Calibri"/>
        </w:rPr>
        <w:t>,</w:t>
      </w:r>
      <w:r w:rsidR="00B126E2" w:rsidRPr="0075166B">
        <w:rPr>
          <w:rFonts w:ascii="Calibri" w:eastAsia="Calibri" w:hAnsi="Calibri" w:cs="Calibri"/>
        </w:rPr>
        <w:t xml:space="preserve"> of </w:t>
      </w:r>
      <w:r w:rsidR="00264A7B" w:rsidRPr="0075166B">
        <w:rPr>
          <w:rFonts w:ascii="Calibri" w:eastAsia="Calibri" w:hAnsi="Calibri" w:cs="Calibri"/>
        </w:rPr>
        <w:t xml:space="preserve">zelfs </w:t>
      </w:r>
      <w:r w:rsidR="00264A7B">
        <w:rPr>
          <w:rFonts w:ascii="Calibri" w:eastAsia="Calibri" w:hAnsi="Calibri" w:cs="Calibri"/>
        </w:rPr>
        <w:t xml:space="preserve">staking </w:t>
      </w:r>
      <w:r w:rsidR="0075166B">
        <w:rPr>
          <w:rFonts w:ascii="Calibri" w:eastAsia="Calibri" w:hAnsi="Calibri" w:cs="Calibri"/>
        </w:rPr>
        <w:t>van de levering</w:t>
      </w:r>
      <w:r w:rsidR="00BA3728" w:rsidRPr="0075166B">
        <w:rPr>
          <w:rFonts w:ascii="Calibri" w:eastAsia="Calibri" w:hAnsi="Calibri" w:cs="Calibri"/>
        </w:rPr>
        <w:t>.</w:t>
      </w:r>
      <w:r w:rsidR="003F12C3">
        <w:rPr>
          <w:rFonts w:ascii="Calibri" w:eastAsia="Calibri" w:hAnsi="Calibri" w:cs="Calibri"/>
        </w:rPr>
        <w:t xml:space="preserve"> </w:t>
      </w:r>
    </w:p>
    <w:p w14:paraId="6D491253" w14:textId="77777777" w:rsidR="00B126E2" w:rsidRPr="00752718" w:rsidRDefault="00B126E2" w:rsidP="00724FEF">
      <w:pPr>
        <w:spacing w:before="240" w:after="240"/>
        <w:jc w:val="both"/>
        <w:rPr>
          <w:rFonts w:eastAsia="Calibri"/>
        </w:rPr>
      </w:pPr>
    </w:p>
    <w:p w14:paraId="080A2D25" w14:textId="77777777" w:rsidR="00A82E94" w:rsidRDefault="00A82E94" w:rsidP="00724FEF">
      <w:pPr>
        <w:pStyle w:val="Kop2"/>
        <w:jc w:val="both"/>
      </w:pPr>
      <w:bookmarkStart w:id="25" w:name="_Toc185491860"/>
      <w:r>
        <w:t>Wapenhandelsverdrag</w:t>
      </w:r>
      <w:bookmarkEnd w:id="25"/>
      <w:r>
        <w:t xml:space="preserve"> </w:t>
      </w:r>
    </w:p>
    <w:p w14:paraId="0972A1BD" w14:textId="77777777" w:rsidR="00A82E94" w:rsidRPr="00F20D3D" w:rsidRDefault="00A82E94" w:rsidP="00724FEF">
      <w:pPr>
        <w:spacing w:before="240" w:after="240"/>
        <w:jc w:val="both"/>
        <w:rPr>
          <w:rFonts w:ascii="Calibri" w:eastAsia="Calibri" w:hAnsi="Calibri" w:cs="Calibri"/>
        </w:rPr>
      </w:pPr>
      <w:r w:rsidRPr="00F20D3D">
        <w:rPr>
          <w:rFonts w:ascii="Calibri" w:eastAsia="Calibri" w:hAnsi="Calibri" w:cs="Calibri"/>
        </w:rPr>
        <w:t>Op grond van het Wapenhandelsverdrag</w:t>
      </w:r>
      <w:r>
        <w:rPr>
          <w:rFonts w:ascii="Calibri" w:eastAsia="Calibri" w:hAnsi="Calibri" w:cs="Calibri"/>
        </w:rPr>
        <w:t xml:space="preserve"> artikel 6 lid 3</w:t>
      </w:r>
      <w:r w:rsidRPr="00F20D3D">
        <w:rPr>
          <w:rFonts w:ascii="Calibri" w:eastAsia="Calibri" w:hAnsi="Calibri" w:cs="Calibri"/>
        </w:rPr>
        <w:t xml:space="preserve"> </w:t>
      </w:r>
      <w:r>
        <w:rPr>
          <w:rFonts w:ascii="Calibri" w:eastAsia="Calibri" w:hAnsi="Calibri" w:cs="Calibri"/>
        </w:rPr>
        <w:t xml:space="preserve">is een export </w:t>
      </w:r>
      <w:r w:rsidRPr="00F20D3D">
        <w:rPr>
          <w:rFonts w:ascii="Calibri" w:eastAsia="Calibri" w:hAnsi="Calibri" w:cs="Calibri"/>
        </w:rPr>
        <w:t xml:space="preserve">onrechtmatig als: </w:t>
      </w:r>
    </w:p>
    <w:p w14:paraId="0DB3731B" w14:textId="77777777" w:rsidR="00A82E94" w:rsidRDefault="00A82E94" w:rsidP="00724FEF">
      <w:pPr>
        <w:spacing w:before="240" w:after="240"/>
        <w:ind w:left="708"/>
        <w:jc w:val="both"/>
        <w:rPr>
          <w:rFonts w:ascii="Calibri" w:eastAsia="Calibri" w:hAnsi="Calibri" w:cs="Calibri"/>
          <w:lang w:val="en-US"/>
        </w:rPr>
      </w:pPr>
      <w:r w:rsidRPr="00F20D3D">
        <w:rPr>
          <w:rFonts w:ascii="Calibri" w:eastAsia="Calibri" w:hAnsi="Calibri" w:cs="Calibri"/>
          <w:lang w:val="en-US"/>
        </w:rPr>
        <w:t>“[The State Party]</w:t>
      </w:r>
      <w:r w:rsidRPr="0007005C">
        <w:rPr>
          <w:rFonts w:ascii="Calibri" w:eastAsia="Calibri" w:hAnsi="Calibri" w:cs="Calibri"/>
          <w:lang w:val="en-US"/>
        </w:rPr>
        <w:t xml:space="preserve"> has knowledge at the time of authorization that the arms or items would be used in the commission of genocide, crimes against humanity, grave breaches of the Geneva Conventions of 1949, attacks directed against civilian objects or civilians protected as such, or other war crimes as defined by international agreements to which it is a Party.”</w:t>
      </w:r>
      <w:r w:rsidRPr="00494E8D">
        <w:rPr>
          <w:rStyle w:val="Voetnootmarkering"/>
          <w:rFonts w:ascii="Calibri" w:eastAsia="Calibri" w:hAnsi="Calibri" w:cs="Calibri"/>
        </w:rPr>
        <w:footnoteReference w:id="95"/>
      </w:r>
    </w:p>
    <w:p w14:paraId="38538310" w14:textId="77777777" w:rsidR="00A82E94" w:rsidRPr="00494E8D" w:rsidRDefault="00A82E94" w:rsidP="00724FEF">
      <w:pPr>
        <w:spacing w:before="240" w:after="240"/>
        <w:jc w:val="both"/>
        <w:rPr>
          <w:rFonts w:ascii="Calibri" w:eastAsia="Calibri" w:hAnsi="Calibri" w:cs="Calibri"/>
        </w:rPr>
      </w:pPr>
      <w:r w:rsidRPr="00494E8D">
        <w:rPr>
          <w:rFonts w:ascii="Calibri" w:eastAsia="Calibri" w:hAnsi="Calibri" w:cs="Calibri"/>
        </w:rPr>
        <w:t>Wanneer de export op grond van dit artikel niet verboden is, dan schrijft art</w:t>
      </w:r>
      <w:r>
        <w:rPr>
          <w:rFonts w:ascii="Calibri" w:eastAsia="Calibri" w:hAnsi="Calibri" w:cs="Calibri"/>
        </w:rPr>
        <w:t>ikel</w:t>
      </w:r>
      <w:r w:rsidRPr="00494E8D">
        <w:rPr>
          <w:rFonts w:ascii="Calibri" w:eastAsia="Calibri" w:hAnsi="Calibri" w:cs="Calibri"/>
        </w:rPr>
        <w:t xml:space="preserve"> 7 lid 1 sub b Wapenhandelsverdrag voor dat de Staat voorafgaand aan de toestemming voor de export de mogelijkheid beoordeelt dat de wapens gebruikt zouden kunnen worden, “</w:t>
      </w:r>
      <w:proofErr w:type="spellStart"/>
      <w:r w:rsidRPr="00494E8D">
        <w:rPr>
          <w:rFonts w:ascii="Calibri" w:eastAsia="Calibri" w:hAnsi="Calibri" w:cs="Calibri"/>
        </w:rPr>
        <w:t>to</w:t>
      </w:r>
      <w:proofErr w:type="spellEnd"/>
      <w:r w:rsidRPr="00494E8D">
        <w:rPr>
          <w:rFonts w:ascii="Calibri" w:eastAsia="Calibri" w:hAnsi="Calibri" w:cs="Calibri"/>
        </w:rPr>
        <w:t xml:space="preserve">: (i) </w:t>
      </w:r>
      <w:proofErr w:type="spellStart"/>
      <w:r w:rsidRPr="00494E8D">
        <w:rPr>
          <w:rFonts w:ascii="Calibri" w:eastAsia="Calibri" w:hAnsi="Calibri" w:cs="Calibri"/>
        </w:rPr>
        <w:t>commit</w:t>
      </w:r>
      <w:proofErr w:type="spellEnd"/>
      <w:r w:rsidRPr="00494E8D">
        <w:rPr>
          <w:rFonts w:ascii="Calibri" w:eastAsia="Calibri" w:hAnsi="Calibri" w:cs="Calibri"/>
        </w:rPr>
        <w:t xml:space="preserve"> or </w:t>
      </w:r>
      <w:proofErr w:type="spellStart"/>
      <w:r w:rsidRPr="00494E8D">
        <w:rPr>
          <w:rFonts w:ascii="Calibri" w:eastAsia="Calibri" w:hAnsi="Calibri" w:cs="Calibri"/>
        </w:rPr>
        <w:t>facilitate</w:t>
      </w:r>
      <w:proofErr w:type="spellEnd"/>
      <w:r w:rsidRPr="00494E8D">
        <w:rPr>
          <w:rFonts w:ascii="Calibri" w:eastAsia="Calibri" w:hAnsi="Calibri" w:cs="Calibri"/>
        </w:rPr>
        <w:t xml:space="preserve"> a </w:t>
      </w:r>
      <w:proofErr w:type="spellStart"/>
      <w:r w:rsidRPr="00494E8D">
        <w:rPr>
          <w:rFonts w:ascii="Calibri" w:eastAsia="Calibri" w:hAnsi="Calibri" w:cs="Calibri"/>
        </w:rPr>
        <w:t>serious</w:t>
      </w:r>
      <w:proofErr w:type="spellEnd"/>
      <w:r w:rsidRPr="00494E8D">
        <w:rPr>
          <w:rFonts w:ascii="Calibri" w:eastAsia="Calibri" w:hAnsi="Calibri" w:cs="Calibri"/>
        </w:rPr>
        <w:t xml:space="preserve"> </w:t>
      </w:r>
      <w:proofErr w:type="spellStart"/>
      <w:r w:rsidRPr="00494E8D">
        <w:rPr>
          <w:rFonts w:ascii="Calibri" w:eastAsia="Calibri" w:hAnsi="Calibri" w:cs="Calibri"/>
        </w:rPr>
        <w:t>violation</w:t>
      </w:r>
      <w:proofErr w:type="spellEnd"/>
      <w:r w:rsidRPr="00494E8D">
        <w:rPr>
          <w:rFonts w:ascii="Calibri" w:eastAsia="Calibri" w:hAnsi="Calibri" w:cs="Calibri"/>
        </w:rPr>
        <w:t xml:space="preserve"> of </w:t>
      </w:r>
      <w:proofErr w:type="spellStart"/>
      <w:r w:rsidRPr="00494E8D">
        <w:rPr>
          <w:rFonts w:ascii="Calibri" w:eastAsia="Calibri" w:hAnsi="Calibri" w:cs="Calibri"/>
        </w:rPr>
        <w:t>international</w:t>
      </w:r>
      <w:proofErr w:type="spellEnd"/>
      <w:r w:rsidRPr="00494E8D">
        <w:rPr>
          <w:rFonts w:ascii="Calibri" w:eastAsia="Calibri" w:hAnsi="Calibri" w:cs="Calibri"/>
        </w:rPr>
        <w:t xml:space="preserve"> </w:t>
      </w:r>
      <w:proofErr w:type="spellStart"/>
      <w:r w:rsidRPr="00494E8D">
        <w:rPr>
          <w:rFonts w:ascii="Calibri" w:eastAsia="Calibri" w:hAnsi="Calibri" w:cs="Calibri"/>
        </w:rPr>
        <w:t>humanitarian</w:t>
      </w:r>
      <w:proofErr w:type="spellEnd"/>
      <w:r w:rsidRPr="00494E8D">
        <w:rPr>
          <w:rFonts w:ascii="Calibri" w:eastAsia="Calibri" w:hAnsi="Calibri" w:cs="Calibri"/>
        </w:rPr>
        <w:t xml:space="preserve"> </w:t>
      </w:r>
      <w:proofErr w:type="spellStart"/>
      <w:r w:rsidRPr="00494E8D">
        <w:rPr>
          <w:rFonts w:ascii="Calibri" w:eastAsia="Calibri" w:hAnsi="Calibri" w:cs="Calibri"/>
        </w:rPr>
        <w:t>law</w:t>
      </w:r>
      <w:proofErr w:type="spellEnd"/>
      <w:r w:rsidRPr="00494E8D">
        <w:rPr>
          <w:rFonts w:ascii="Calibri" w:eastAsia="Calibri" w:hAnsi="Calibri" w:cs="Calibri"/>
        </w:rPr>
        <w:t xml:space="preserve">; (ii) </w:t>
      </w:r>
      <w:proofErr w:type="spellStart"/>
      <w:r w:rsidRPr="00494E8D">
        <w:rPr>
          <w:rFonts w:ascii="Calibri" w:eastAsia="Calibri" w:hAnsi="Calibri" w:cs="Calibri"/>
        </w:rPr>
        <w:t>commit</w:t>
      </w:r>
      <w:proofErr w:type="spellEnd"/>
      <w:r w:rsidRPr="00494E8D">
        <w:rPr>
          <w:rFonts w:ascii="Calibri" w:eastAsia="Calibri" w:hAnsi="Calibri" w:cs="Calibri"/>
        </w:rPr>
        <w:t xml:space="preserve"> or </w:t>
      </w:r>
      <w:proofErr w:type="spellStart"/>
      <w:r w:rsidRPr="00494E8D">
        <w:rPr>
          <w:rFonts w:ascii="Calibri" w:eastAsia="Calibri" w:hAnsi="Calibri" w:cs="Calibri"/>
        </w:rPr>
        <w:t>facilitate</w:t>
      </w:r>
      <w:proofErr w:type="spellEnd"/>
      <w:r w:rsidRPr="00494E8D">
        <w:rPr>
          <w:rFonts w:ascii="Calibri" w:eastAsia="Calibri" w:hAnsi="Calibri" w:cs="Calibri"/>
        </w:rPr>
        <w:t xml:space="preserve"> a </w:t>
      </w:r>
      <w:proofErr w:type="spellStart"/>
      <w:r w:rsidRPr="00494E8D">
        <w:rPr>
          <w:rFonts w:ascii="Calibri" w:eastAsia="Calibri" w:hAnsi="Calibri" w:cs="Calibri"/>
        </w:rPr>
        <w:t>serious</w:t>
      </w:r>
      <w:proofErr w:type="spellEnd"/>
      <w:r w:rsidRPr="00494E8D">
        <w:rPr>
          <w:rFonts w:ascii="Calibri" w:eastAsia="Calibri" w:hAnsi="Calibri" w:cs="Calibri"/>
        </w:rPr>
        <w:t xml:space="preserve"> </w:t>
      </w:r>
      <w:proofErr w:type="spellStart"/>
      <w:r w:rsidRPr="00494E8D">
        <w:rPr>
          <w:rFonts w:ascii="Calibri" w:eastAsia="Calibri" w:hAnsi="Calibri" w:cs="Calibri"/>
        </w:rPr>
        <w:t>violation</w:t>
      </w:r>
      <w:proofErr w:type="spellEnd"/>
      <w:r w:rsidRPr="00494E8D">
        <w:rPr>
          <w:rFonts w:ascii="Calibri" w:eastAsia="Calibri" w:hAnsi="Calibri" w:cs="Calibri"/>
        </w:rPr>
        <w:t xml:space="preserve"> of </w:t>
      </w:r>
      <w:proofErr w:type="spellStart"/>
      <w:r w:rsidRPr="00494E8D">
        <w:rPr>
          <w:rFonts w:ascii="Calibri" w:eastAsia="Calibri" w:hAnsi="Calibri" w:cs="Calibri"/>
        </w:rPr>
        <w:t>international</w:t>
      </w:r>
      <w:proofErr w:type="spellEnd"/>
      <w:r w:rsidRPr="00494E8D">
        <w:rPr>
          <w:rFonts w:ascii="Calibri" w:eastAsia="Calibri" w:hAnsi="Calibri" w:cs="Calibri"/>
        </w:rPr>
        <w:t xml:space="preserve"> human </w:t>
      </w:r>
      <w:proofErr w:type="spellStart"/>
      <w:r w:rsidRPr="00494E8D">
        <w:rPr>
          <w:rFonts w:ascii="Calibri" w:eastAsia="Calibri" w:hAnsi="Calibri" w:cs="Calibri"/>
        </w:rPr>
        <w:t>rights</w:t>
      </w:r>
      <w:proofErr w:type="spellEnd"/>
      <w:r w:rsidRPr="00494E8D">
        <w:rPr>
          <w:rFonts w:ascii="Calibri" w:eastAsia="Calibri" w:hAnsi="Calibri" w:cs="Calibri"/>
        </w:rPr>
        <w:t xml:space="preserve"> </w:t>
      </w:r>
      <w:proofErr w:type="spellStart"/>
      <w:r w:rsidRPr="00494E8D">
        <w:rPr>
          <w:rFonts w:ascii="Calibri" w:eastAsia="Calibri" w:hAnsi="Calibri" w:cs="Calibri"/>
        </w:rPr>
        <w:t>law</w:t>
      </w:r>
      <w:proofErr w:type="spellEnd"/>
      <w:r w:rsidRPr="00494E8D">
        <w:rPr>
          <w:rFonts w:ascii="Calibri" w:eastAsia="Calibri" w:hAnsi="Calibri" w:cs="Calibri"/>
        </w:rPr>
        <w:t>;". Wanneer er inderdaad een “</w:t>
      </w:r>
      <w:proofErr w:type="spellStart"/>
      <w:r w:rsidRPr="00494E8D">
        <w:rPr>
          <w:rFonts w:ascii="Calibri" w:eastAsia="Calibri" w:hAnsi="Calibri" w:cs="Calibri"/>
        </w:rPr>
        <w:t>overriding</w:t>
      </w:r>
      <w:proofErr w:type="spellEnd"/>
      <w:r w:rsidRPr="00494E8D">
        <w:rPr>
          <w:rFonts w:ascii="Calibri" w:eastAsia="Calibri" w:hAnsi="Calibri" w:cs="Calibri"/>
        </w:rPr>
        <w:t xml:space="preserve"> risk” is van een van deze consequenties, dan mag de exportvergunning niet worden verleend op grond van lid 3. </w:t>
      </w:r>
    </w:p>
    <w:p w14:paraId="76D7D5C0" w14:textId="0A62E18E" w:rsidR="00A82E94" w:rsidRPr="00494E8D" w:rsidRDefault="00A82E94" w:rsidP="00724FEF">
      <w:pPr>
        <w:spacing w:before="240" w:after="240"/>
        <w:jc w:val="both"/>
        <w:rPr>
          <w:rFonts w:ascii="Calibri" w:eastAsia="Calibri" w:hAnsi="Calibri" w:cs="Calibri"/>
        </w:rPr>
      </w:pPr>
      <w:r w:rsidRPr="00494E8D">
        <w:rPr>
          <w:rFonts w:ascii="Calibri" w:eastAsia="Calibri" w:hAnsi="Calibri" w:cs="Calibri"/>
        </w:rPr>
        <w:lastRenderedPageBreak/>
        <w:t xml:space="preserve">Ook uit het eerdergenoemde arrest van het IGH in de zaak Nicaragua </w:t>
      </w:r>
      <w:r w:rsidR="00CF023C">
        <w:rPr>
          <w:rFonts w:ascii="Calibri" w:eastAsia="Calibri" w:hAnsi="Calibri" w:cs="Calibri"/>
        </w:rPr>
        <w:t>t</w:t>
      </w:r>
      <w:r w:rsidRPr="00494E8D">
        <w:rPr>
          <w:rFonts w:ascii="Calibri" w:eastAsia="Calibri" w:hAnsi="Calibri" w:cs="Calibri"/>
        </w:rPr>
        <w:t>. Duitsland volgt dat Staten verplicht zijn bij wapenoverdracht om het risico te vermijden dat de wapens gebruikt worden voor een schending van de Geneefse Conventies.</w:t>
      </w:r>
      <w:r w:rsidRPr="00494E8D">
        <w:rPr>
          <w:rStyle w:val="Voetnootmarkering"/>
          <w:rFonts w:ascii="Calibri" w:eastAsia="Calibri" w:hAnsi="Calibri" w:cs="Calibri"/>
        </w:rPr>
        <w:footnoteReference w:id="96"/>
      </w:r>
    </w:p>
    <w:p w14:paraId="513017E4" w14:textId="477D87FB" w:rsidR="00A82E94" w:rsidRPr="00494E8D" w:rsidRDefault="00A82E94" w:rsidP="00724FEF">
      <w:pPr>
        <w:spacing w:before="240" w:after="240"/>
        <w:jc w:val="both"/>
        <w:rPr>
          <w:rFonts w:ascii="Calibri" w:eastAsia="Calibri" w:hAnsi="Calibri" w:cs="Calibri"/>
        </w:rPr>
      </w:pPr>
      <w:r w:rsidRPr="00494E8D">
        <w:rPr>
          <w:rFonts w:ascii="Calibri" w:eastAsia="Calibri" w:hAnsi="Calibri" w:cs="Calibri"/>
        </w:rPr>
        <w:t>Lid 2 van art</w:t>
      </w:r>
      <w:r>
        <w:rPr>
          <w:rFonts w:ascii="Calibri" w:eastAsia="Calibri" w:hAnsi="Calibri" w:cs="Calibri"/>
        </w:rPr>
        <w:t>ikel</w:t>
      </w:r>
      <w:r w:rsidRPr="00494E8D">
        <w:rPr>
          <w:rFonts w:ascii="Calibri" w:eastAsia="Calibri" w:hAnsi="Calibri" w:cs="Calibri"/>
        </w:rPr>
        <w:t xml:space="preserve"> 7 Wapenhandelsverdrag schrijft daarbij nog voor dat een Staat ook moet overwegen of er bepaalde maatregelen zijn die hij zou kunnen nemen om de geïdentificeerde risico's zoals genoemd in lid 1 sub b te mitigeren, zoals vertrouwen bevorderende maatregelen. Het ligt dus voor de hand dat Nederland in het kader van art</w:t>
      </w:r>
      <w:r>
        <w:rPr>
          <w:rFonts w:ascii="Calibri" w:eastAsia="Calibri" w:hAnsi="Calibri" w:cs="Calibri"/>
        </w:rPr>
        <w:t>ikel</w:t>
      </w:r>
      <w:r w:rsidRPr="00494E8D">
        <w:rPr>
          <w:rFonts w:ascii="Calibri" w:eastAsia="Calibri" w:hAnsi="Calibri" w:cs="Calibri"/>
        </w:rPr>
        <w:t xml:space="preserve"> 7 lid 2 Wapenhandelsverdrag de voorwaarde aan de levering van de wapensystemen zou stellen, dat deze niet gebruikt mogen worden voor het </w:t>
      </w:r>
      <w:r w:rsidR="00003B46">
        <w:rPr>
          <w:rFonts w:ascii="Calibri" w:eastAsia="Calibri" w:hAnsi="Calibri" w:cs="Calibri"/>
        </w:rPr>
        <w:t>afwerpen</w:t>
      </w:r>
      <w:r w:rsidRPr="00494E8D">
        <w:rPr>
          <w:rFonts w:ascii="Calibri" w:eastAsia="Calibri" w:hAnsi="Calibri" w:cs="Calibri"/>
        </w:rPr>
        <w:t xml:space="preserve"> van clustermunitie. </w:t>
      </w:r>
    </w:p>
    <w:p w14:paraId="3D116A75" w14:textId="77777777" w:rsidR="00A82E94" w:rsidRPr="00494E8D" w:rsidRDefault="00A82E94" w:rsidP="00724FEF">
      <w:pPr>
        <w:spacing w:before="240" w:after="240"/>
        <w:jc w:val="both"/>
        <w:rPr>
          <w:rFonts w:ascii="Calibri" w:eastAsia="Calibri" w:hAnsi="Calibri" w:cs="Calibri"/>
        </w:rPr>
      </w:pPr>
      <w:r w:rsidRPr="00494E8D">
        <w:rPr>
          <w:rFonts w:ascii="Calibri" w:eastAsia="Calibri" w:hAnsi="Calibri" w:cs="Calibri"/>
        </w:rPr>
        <w:t xml:space="preserve">In ‘Arms transfer </w:t>
      </w:r>
      <w:proofErr w:type="spellStart"/>
      <w:r w:rsidRPr="00494E8D">
        <w:rPr>
          <w:rFonts w:ascii="Calibri" w:eastAsia="Calibri" w:hAnsi="Calibri" w:cs="Calibri"/>
        </w:rPr>
        <w:t>decisions</w:t>
      </w:r>
      <w:proofErr w:type="spellEnd"/>
      <w:r w:rsidRPr="00494E8D">
        <w:rPr>
          <w:rFonts w:ascii="Calibri" w:eastAsia="Calibri" w:hAnsi="Calibri" w:cs="Calibri"/>
        </w:rPr>
        <w:t xml:space="preserve"> – </w:t>
      </w:r>
      <w:proofErr w:type="spellStart"/>
      <w:r w:rsidRPr="00494E8D">
        <w:rPr>
          <w:rFonts w:ascii="Calibri" w:eastAsia="Calibri" w:hAnsi="Calibri" w:cs="Calibri"/>
        </w:rPr>
        <w:t>Applying</w:t>
      </w:r>
      <w:proofErr w:type="spellEnd"/>
      <w:r w:rsidRPr="00494E8D">
        <w:rPr>
          <w:rFonts w:ascii="Calibri" w:eastAsia="Calibri" w:hAnsi="Calibri" w:cs="Calibri"/>
        </w:rPr>
        <w:t xml:space="preserve"> </w:t>
      </w:r>
      <w:proofErr w:type="spellStart"/>
      <w:r w:rsidRPr="00494E8D">
        <w:rPr>
          <w:rFonts w:ascii="Calibri" w:eastAsia="Calibri" w:hAnsi="Calibri" w:cs="Calibri"/>
        </w:rPr>
        <w:t>international</w:t>
      </w:r>
      <w:proofErr w:type="spellEnd"/>
      <w:r w:rsidRPr="00494E8D">
        <w:rPr>
          <w:rFonts w:ascii="Calibri" w:eastAsia="Calibri" w:hAnsi="Calibri" w:cs="Calibri"/>
        </w:rPr>
        <w:t xml:space="preserve"> </w:t>
      </w:r>
      <w:proofErr w:type="spellStart"/>
      <w:r w:rsidRPr="00494E8D">
        <w:rPr>
          <w:rFonts w:ascii="Calibri" w:eastAsia="Calibri" w:hAnsi="Calibri" w:cs="Calibri"/>
        </w:rPr>
        <w:t>humanitarian</w:t>
      </w:r>
      <w:proofErr w:type="spellEnd"/>
      <w:r w:rsidRPr="00494E8D">
        <w:rPr>
          <w:rFonts w:ascii="Calibri" w:eastAsia="Calibri" w:hAnsi="Calibri" w:cs="Calibri"/>
        </w:rPr>
        <w:t xml:space="preserve"> </w:t>
      </w:r>
      <w:proofErr w:type="spellStart"/>
      <w:r w:rsidRPr="00494E8D">
        <w:rPr>
          <w:rFonts w:ascii="Calibri" w:eastAsia="Calibri" w:hAnsi="Calibri" w:cs="Calibri"/>
        </w:rPr>
        <w:t>law</w:t>
      </w:r>
      <w:proofErr w:type="spellEnd"/>
      <w:r w:rsidRPr="00494E8D">
        <w:rPr>
          <w:rFonts w:ascii="Calibri" w:eastAsia="Calibri" w:hAnsi="Calibri" w:cs="Calibri"/>
        </w:rPr>
        <w:t xml:space="preserve"> criteria' schrijft de ICRC dat Staten bij wapenoverdrachten altijd moeten overwegen of het waarschijnlijk is dat de ontvangende partij deze wapens zal gebruiken voor schendingen van het IHR:</w:t>
      </w:r>
    </w:p>
    <w:p w14:paraId="602DE22B" w14:textId="77777777" w:rsidR="00A82E94" w:rsidRPr="0007005C" w:rsidRDefault="00A82E94"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“[A]</w:t>
      </w:r>
      <w:proofErr w:type="spellStart"/>
      <w:r w:rsidRPr="0007005C">
        <w:rPr>
          <w:rFonts w:ascii="Calibri" w:eastAsia="Calibri" w:hAnsi="Calibri" w:cs="Calibri"/>
          <w:lang w:val="en-US"/>
        </w:rPr>
        <w:t>ll</w:t>
      </w:r>
      <w:proofErr w:type="spellEnd"/>
      <w:r w:rsidRPr="0007005C">
        <w:rPr>
          <w:rFonts w:ascii="Calibri" w:eastAsia="Calibri" w:hAnsi="Calibri" w:cs="Calibri"/>
          <w:lang w:val="en-US"/>
        </w:rPr>
        <w:t xml:space="preserve"> national and international standards for arms transfers should include a requirement to assess the recipient’s likely respect for international humanitarian law and to not authorize transfers if there is a clear risk that the arms will be used to commit serious violations of this law.”</w:t>
      </w:r>
      <w:r w:rsidRPr="00494E8D">
        <w:rPr>
          <w:rStyle w:val="Voetnootmarkering"/>
          <w:rFonts w:ascii="Calibri" w:eastAsia="Calibri" w:hAnsi="Calibri" w:cs="Calibri"/>
        </w:rPr>
        <w:footnoteReference w:id="97"/>
      </w:r>
    </w:p>
    <w:p w14:paraId="5B4A7964" w14:textId="77777777" w:rsidR="00A82E94" w:rsidRPr="00494E8D" w:rsidRDefault="00A82E94" w:rsidP="00724FEF">
      <w:pPr>
        <w:spacing w:before="240" w:after="240"/>
        <w:jc w:val="both"/>
        <w:rPr>
          <w:rFonts w:ascii="Calibri" w:eastAsia="Calibri" w:hAnsi="Calibri" w:cs="Calibri"/>
        </w:rPr>
      </w:pPr>
      <w:r w:rsidRPr="00494E8D">
        <w:rPr>
          <w:rFonts w:ascii="Calibri" w:eastAsia="Calibri" w:hAnsi="Calibri" w:cs="Calibri"/>
        </w:rPr>
        <w:t>De ICRC benadrukt dat verschillende internationale verdragen en nationaal beleid de verplichting hebben opgenomen om het oorlogsrecht te respecteren bij de uitvoering van de verplichtingen van dat verdrag. Hoewel de CCM niet een dergelijke expliciete bepaling betreft zoals bijvoorbeeld art</w:t>
      </w:r>
      <w:r>
        <w:rPr>
          <w:rFonts w:ascii="Calibri" w:eastAsia="Calibri" w:hAnsi="Calibri" w:cs="Calibri"/>
        </w:rPr>
        <w:t>ikel</w:t>
      </w:r>
      <w:r w:rsidRPr="00494E8D">
        <w:rPr>
          <w:rFonts w:ascii="Calibri" w:eastAsia="Calibri" w:hAnsi="Calibri" w:cs="Calibri"/>
        </w:rPr>
        <w:t xml:space="preserve"> 6 lid 3 van het Wapenhandelsverdrag,</w:t>
      </w:r>
      <w:r w:rsidRPr="00494E8D">
        <w:rPr>
          <w:rStyle w:val="Voetnootmarkering"/>
          <w:rFonts w:ascii="Calibri" w:eastAsia="Calibri" w:hAnsi="Calibri" w:cs="Calibri"/>
        </w:rPr>
        <w:footnoteReference w:id="98"/>
      </w:r>
      <w:r w:rsidRPr="00494E8D">
        <w:rPr>
          <w:rFonts w:ascii="Calibri" w:eastAsia="Calibri" w:hAnsi="Calibri" w:cs="Calibri"/>
        </w:rPr>
        <w:t xml:space="preserve"> verwijst het wel naar het IHR in de preambule:</w:t>
      </w:r>
    </w:p>
    <w:p w14:paraId="531FCF23" w14:textId="77777777" w:rsidR="00A82E94" w:rsidRPr="0007005C" w:rsidRDefault="00A82E94"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“Basing themselves on the principles and rules of international humanitarian law, in particular the principle that the right of parties to an armed conflict to choose methods or means of warfare is not unlimited, and the rules that the parties to a conflict shall at all times distinguish between the civilian population and combatants and between civilian objects and military objectives and accordingly direct their operations against military objectives only, that in the conduct of military operations constant care shall be taken to spare the civilian population, civilians and civilian objects and that the civilian population and individual civilians enjoy general protection against dangers arising from military operations, (...)”</w:t>
      </w:r>
    </w:p>
    <w:p w14:paraId="065A5B71" w14:textId="77777777" w:rsidR="00A82E94" w:rsidRPr="00494E8D" w:rsidRDefault="00A82E94" w:rsidP="00724FEF">
      <w:pPr>
        <w:spacing w:before="240" w:after="240"/>
        <w:jc w:val="both"/>
        <w:rPr>
          <w:rFonts w:ascii="Calibri" w:eastAsia="Calibri" w:hAnsi="Calibri" w:cs="Calibri"/>
        </w:rPr>
      </w:pPr>
      <w:r w:rsidRPr="00494E8D">
        <w:rPr>
          <w:rFonts w:ascii="Calibri" w:eastAsia="Calibri" w:hAnsi="Calibri" w:cs="Calibri"/>
        </w:rPr>
        <w:t>Daarbij wordt er ook naar het internationaal recht verwezen in art</w:t>
      </w:r>
      <w:r>
        <w:rPr>
          <w:rFonts w:ascii="Calibri" w:eastAsia="Calibri" w:hAnsi="Calibri" w:cs="Calibri"/>
        </w:rPr>
        <w:t>ikel</w:t>
      </w:r>
      <w:r w:rsidRPr="00494E8D">
        <w:rPr>
          <w:rFonts w:ascii="Calibri" w:eastAsia="Calibri" w:hAnsi="Calibri" w:cs="Calibri"/>
        </w:rPr>
        <w:t xml:space="preserve"> 21 lid 3 CCM: </w:t>
      </w:r>
    </w:p>
    <w:p w14:paraId="5372BCD7" w14:textId="77777777" w:rsidR="00A82E94" w:rsidRPr="0007005C" w:rsidRDefault="00A82E94" w:rsidP="00724FEF">
      <w:pPr>
        <w:spacing w:before="240" w:after="240"/>
        <w:ind w:left="708"/>
        <w:jc w:val="both"/>
        <w:rPr>
          <w:rFonts w:ascii="Calibri" w:eastAsia="Calibri" w:hAnsi="Calibri" w:cs="Calibri"/>
          <w:lang w:val="en-US"/>
        </w:rPr>
      </w:pPr>
      <w:r w:rsidRPr="0007005C">
        <w:rPr>
          <w:rFonts w:ascii="Calibri" w:eastAsia="Calibri" w:hAnsi="Calibri" w:cs="Calibri"/>
          <w:lang w:val="en-US"/>
        </w:rPr>
        <w:t xml:space="preserve">“Notwithstanding the provisions of Article 1 of this Convention </w:t>
      </w:r>
      <w:r w:rsidRPr="0007005C">
        <w:rPr>
          <w:rFonts w:ascii="Calibri" w:eastAsia="Calibri" w:hAnsi="Calibri" w:cs="Calibri"/>
          <w:u w:val="single"/>
          <w:lang w:val="en-US"/>
        </w:rPr>
        <w:t>and in accordance with international law</w:t>
      </w:r>
      <w:r w:rsidRPr="0007005C">
        <w:rPr>
          <w:rFonts w:ascii="Calibri" w:eastAsia="Calibri" w:hAnsi="Calibri" w:cs="Calibri"/>
          <w:lang w:val="en-US"/>
        </w:rPr>
        <w:t>, States Parties, their military personnel or nationals, may engage in military cooperation and operations with States not party to this Convention that might engage in activities prohibited to a State Party.”</w:t>
      </w:r>
    </w:p>
    <w:p w14:paraId="73C3662F" w14:textId="58EEFFAC" w:rsidR="00A82E94" w:rsidRPr="00494E8D" w:rsidRDefault="00A82E94" w:rsidP="00724FEF">
      <w:pPr>
        <w:spacing w:before="240" w:after="240"/>
        <w:jc w:val="both"/>
        <w:rPr>
          <w:rFonts w:ascii="Calibri" w:eastAsia="Calibri" w:hAnsi="Calibri" w:cs="Calibri"/>
        </w:rPr>
      </w:pPr>
      <w:r w:rsidRPr="00494E8D">
        <w:rPr>
          <w:rFonts w:ascii="Calibri" w:eastAsia="Calibri" w:hAnsi="Calibri" w:cs="Calibri"/>
        </w:rPr>
        <w:t>Wat betreft de criteria die Staten kunnen gebruiken om het risico van het overdragen van wapens of militaire uitrusting</w:t>
      </w:r>
      <w:r w:rsidR="00741462">
        <w:rPr>
          <w:rFonts w:ascii="Calibri" w:eastAsia="Calibri" w:hAnsi="Calibri" w:cs="Calibri"/>
        </w:rPr>
        <w:t xml:space="preserve"> </w:t>
      </w:r>
      <w:r w:rsidR="00741462" w:rsidRPr="00494E8D">
        <w:rPr>
          <w:rFonts w:ascii="Calibri" w:eastAsia="Calibri" w:hAnsi="Calibri" w:cs="Calibri"/>
        </w:rPr>
        <w:t>te beoordelen</w:t>
      </w:r>
      <w:r w:rsidRPr="00494E8D">
        <w:rPr>
          <w:rFonts w:ascii="Calibri" w:eastAsia="Calibri" w:hAnsi="Calibri" w:cs="Calibri"/>
        </w:rPr>
        <w:t xml:space="preserve">, heeft de ICRC een reeks indicatoren </w:t>
      </w:r>
      <w:r w:rsidR="00C15D4C">
        <w:rPr>
          <w:rFonts w:ascii="Calibri" w:eastAsia="Calibri" w:hAnsi="Calibri" w:cs="Calibri"/>
        </w:rPr>
        <w:t>op</w:t>
      </w:r>
      <w:r w:rsidRPr="00494E8D">
        <w:rPr>
          <w:rFonts w:ascii="Calibri" w:eastAsia="Calibri" w:hAnsi="Calibri" w:cs="Calibri"/>
        </w:rPr>
        <w:t xml:space="preserve">gesteld. Deze omvatten het </w:t>
      </w:r>
      <w:r w:rsidRPr="00494E8D">
        <w:rPr>
          <w:rFonts w:ascii="Calibri" w:eastAsia="Calibri" w:hAnsi="Calibri" w:cs="Calibri"/>
        </w:rPr>
        <w:lastRenderedPageBreak/>
        <w:t>nalevingsgedrag</w:t>
      </w:r>
      <w:r w:rsidR="00E53945">
        <w:rPr>
          <w:rFonts w:ascii="Calibri" w:eastAsia="Calibri" w:hAnsi="Calibri" w:cs="Calibri"/>
        </w:rPr>
        <w:t xml:space="preserve"> (</w:t>
      </w:r>
      <w:r w:rsidR="00125F22">
        <w:rPr>
          <w:rFonts w:ascii="Calibri" w:eastAsia="Calibri" w:hAnsi="Calibri" w:cs="Calibri"/>
        </w:rPr>
        <w:t>zowel in verleden als heden</w:t>
      </w:r>
      <w:r w:rsidR="00E53945">
        <w:rPr>
          <w:rFonts w:ascii="Calibri" w:eastAsia="Calibri" w:hAnsi="Calibri" w:cs="Calibri"/>
        </w:rPr>
        <w:t>)</w:t>
      </w:r>
      <w:r w:rsidRPr="00494E8D">
        <w:rPr>
          <w:rFonts w:ascii="Calibri" w:eastAsia="Calibri" w:hAnsi="Calibri" w:cs="Calibri"/>
        </w:rPr>
        <w:t xml:space="preserve"> van de ontvanger met betrekking tot het IHR, de vermeende intenties van de ontvanger zoals uitgedrukt in zijn eigen toezeggingen en het vermogen van de ontvanger om ervoor te zorgen dat de betreffende wapens niet worden gebruikt op een manier die in strijd is met het IHR.</w:t>
      </w:r>
      <w:r w:rsidRPr="00494E8D">
        <w:rPr>
          <w:rStyle w:val="Voetnootmarkering"/>
          <w:rFonts w:ascii="Calibri" w:eastAsia="Calibri" w:hAnsi="Calibri" w:cs="Calibri"/>
        </w:rPr>
        <w:footnoteReference w:id="99"/>
      </w:r>
    </w:p>
    <w:p w14:paraId="2A34105D" w14:textId="709F48AA" w:rsidR="00A82E94" w:rsidRPr="00494E8D" w:rsidRDefault="00A82E94" w:rsidP="00724FEF">
      <w:pPr>
        <w:spacing w:before="240" w:after="240"/>
        <w:jc w:val="both"/>
        <w:rPr>
          <w:rFonts w:ascii="Calibri" w:eastAsia="Calibri" w:hAnsi="Calibri" w:cs="Calibri"/>
        </w:rPr>
      </w:pPr>
      <w:r w:rsidRPr="00494E8D">
        <w:rPr>
          <w:rFonts w:ascii="Calibri" w:eastAsia="Calibri" w:hAnsi="Calibri" w:cs="Calibri"/>
        </w:rPr>
        <w:t>Volgens de ICRC zou art</w:t>
      </w:r>
      <w:r>
        <w:rPr>
          <w:rFonts w:ascii="Calibri" w:eastAsia="Calibri" w:hAnsi="Calibri" w:cs="Calibri"/>
        </w:rPr>
        <w:t>ikel</w:t>
      </w:r>
      <w:r w:rsidRPr="00494E8D">
        <w:rPr>
          <w:rFonts w:ascii="Calibri" w:eastAsia="Calibri" w:hAnsi="Calibri" w:cs="Calibri"/>
        </w:rPr>
        <w:t xml:space="preserve"> 1 GC </w:t>
      </w:r>
      <w:r w:rsidR="002073B6">
        <w:rPr>
          <w:rFonts w:ascii="Calibri" w:eastAsia="Calibri" w:hAnsi="Calibri" w:cs="Calibri"/>
        </w:rPr>
        <w:t xml:space="preserve">en overigens ook het Wapenhandlesverdrag </w:t>
      </w:r>
      <w:r w:rsidRPr="00494E8D">
        <w:rPr>
          <w:rFonts w:ascii="Calibri" w:eastAsia="Calibri" w:hAnsi="Calibri" w:cs="Calibri"/>
        </w:rPr>
        <w:t>in de context van wapen</w:t>
      </w:r>
      <w:r w:rsidR="002073B6">
        <w:rPr>
          <w:rFonts w:ascii="Calibri" w:eastAsia="Calibri" w:hAnsi="Calibri" w:cs="Calibri"/>
        </w:rPr>
        <w:t xml:space="preserve">overdracht </w:t>
      </w:r>
      <w:r w:rsidRPr="00494E8D">
        <w:rPr>
          <w:rFonts w:ascii="Calibri" w:eastAsia="Calibri" w:hAnsi="Calibri" w:cs="Calibri"/>
        </w:rPr>
        <w:t>dus zijn geschonden wanneer een Staat wapens overdraagt terwijl er uit zijn beoordeling naar voren komt dat er een substantieel of duidelijk risico bestaat dat deze wapens zullen worden gebruikt om het IHR te schenden, en de Staat nalaat passende maatregelen te nemen om dit te voorkomen.</w:t>
      </w:r>
      <w:r w:rsidRPr="00494E8D">
        <w:rPr>
          <w:rStyle w:val="Voetnootmarkering"/>
          <w:rFonts w:ascii="Calibri" w:eastAsia="Calibri" w:hAnsi="Calibri" w:cs="Calibri"/>
        </w:rPr>
        <w:footnoteReference w:id="100"/>
      </w:r>
    </w:p>
    <w:p w14:paraId="2A6479DB" w14:textId="77777777" w:rsidR="00A82E94" w:rsidRPr="00CA6C23" w:rsidRDefault="00A82E94" w:rsidP="00724FEF">
      <w:pPr>
        <w:pStyle w:val="Tekst"/>
        <w:numPr>
          <w:ilvl w:val="0"/>
          <w:numId w:val="0"/>
        </w:numPr>
        <w:jc w:val="both"/>
      </w:pPr>
    </w:p>
    <w:p w14:paraId="2EADF721" w14:textId="73649C39" w:rsidR="71193AEB" w:rsidRPr="00494E8D" w:rsidRDefault="008C22D5" w:rsidP="00724FEF">
      <w:pPr>
        <w:pStyle w:val="Kop1"/>
        <w:jc w:val="both"/>
        <w:rPr>
          <w:rFonts w:ascii="Calibri" w:eastAsia="Calibri" w:hAnsi="Calibri" w:cs="Calibri"/>
        </w:rPr>
      </w:pPr>
      <w:bookmarkStart w:id="26" w:name="_Toc185491861"/>
      <w:r>
        <w:t>Beantwoording v</w:t>
      </w:r>
      <w:r w:rsidR="6657A7FB" w:rsidRPr="00494E8D">
        <w:t>raag 5</w:t>
      </w:r>
      <w:r w:rsidR="00CE0DB4">
        <w:t xml:space="preserve"> </w:t>
      </w:r>
      <w:r w:rsidR="007A2BEF">
        <w:t>–</w:t>
      </w:r>
      <w:r w:rsidR="00CE0DB4">
        <w:t xml:space="preserve"> </w:t>
      </w:r>
      <w:r w:rsidR="00643C8F">
        <w:t>Andere i</w:t>
      </w:r>
      <w:r w:rsidR="007A2BEF">
        <w:t>nternationaal rechtelijke normen</w:t>
      </w:r>
      <w:bookmarkEnd w:id="26"/>
    </w:p>
    <w:p w14:paraId="2C059CDB" w14:textId="157C818A" w:rsidR="00AF222C" w:rsidRDefault="00A4495B" w:rsidP="00724FEF">
      <w:pPr>
        <w:jc w:val="both"/>
      </w:pPr>
      <w:r>
        <w:t xml:space="preserve">Vraag 5 heeft niet betrekking op de CCM en richt zich kort gezegd op andere </w:t>
      </w:r>
      <w:r w:rsidR="002073B6">
        <w:t xml:space="preserve">internationale </w:t>
      </w:r>
      <w:r w:rsidR="00AF222C">
        <w:t>grondslagen om een gebruiksbeperking op te nemen. De vraag luidt:</w:t>
      </w:r>
    </w:p>
    <w:p w14:paraId="0F2BF5AE" w14:textId="2629878B" w:rsidR="00A4495B" w:rsidRPr="00494E8D" w:rsidRDefault="00AF222C" w:rsidP="00724FEF">
      <w:pPr>
        <w:ind w:left="708"/>
        <w:jc w:val="both"/>
      </w:pPr>
      <w:r>
        <w:t>“</w:t>
      </w:r>
      <w:r w:rsidR="00A4495B" w:rsidRPr="00494E8D">
        <w:t>Zijn er andere internationaalrechtelijke voorschriften dan die welke vervat zijn in het Verdrag inzake clustermunitie die Nederland verbieden om Oekraïne direct of indirect te steunen wat betreft het gebruik van clustermunitie of haar verplichten om uitsluitend militaire of financiële middelen ter beschikking te stellen onder de voorwaarde dat die niet voor het gebruik van clustermunitie mogen worden aangewend?</w:t>
      </w:r>
      <w:r>
        <w:t>”</w:t>
      </w:r>
    </w:p>
    <w:p w14:paraId="6BC76C29" w14:textId="4513A1B8" w:rsidR="008B797C" w:rsidRDefault="0035723C" w:rsidP="00724FEF">
      <w:pPr>
        <w:spacing w:before="240" w:after="240"/>
        <w:jc w:val="both"/>
        <w:rPr>
          <w:rFonts w:ascii="Calibri" w:eastAsia="Calibri" w:hAnsi="Calibri" w:cs="Calibri"/>
        </w:rPr>
      </w:pPr>
      <w:r>
        <w:rPr>
          <w:rFonts w:ascii="Calibri" w:eastAsia="Calibri" w:hAnsi="Calibri" w:cs="Calibri"/>
        </w:rPr>
        <w:t>Betoogd kan worden dat</w:t>
      </w:r>
      <w:r w:rsidRPr="00494E8D">
        <w:rPr>
          <w:rFonts w:ascii="Calibri" w:eastAsia="Calibri" w:hAnsi="Calibri" w:cs="Calibri"/>
        </w:rPr>
        <w:t xml:space="preserve"> Nederland op grond van art</w:t>
      </w:r>
      <w:r>
        <w:rPr>
          <w:rFonts w:ascii="Calibri" w:eastAsia="Calibri" w:hAnsi="Calibri" w:cs="Calibri"/>
        </w:rPr>
        <w:t>ikel</w:t>
      </w:r>
      <w:r w:rsidRPr="00494E8D">
        <w:rPr>
          <w:rFonts w:ascii="Calibri" w:eastAsia="Calibri" w:hAnsi="Calibri" w:cs="Calibri"/>
        </w:rPr>
        <w:t xml:space="preserve"> 1 GC verplicht is om Oekraïne ertoe te bewegen om </w:t>
      </w:r>
      <w:r w:rsidR="002B488F">
        <w:rPr>
          <w:rFonts w:ascii="Calibri" w:eastAsia="Calibri" w:hAnsi="Calibri" w:cs="Calibri"/>
        </w:rPr>
        <w:t>het internationaal recht te respecteren.</w:t>
      </w:r>
      <w:r w:rsidR="006707E0">
        <w:rPr>
          <w:rFonts w:ascii="Calibri" w:eastAsia="Calibri" w:hAnsi="Calibri" w:cs="Calibri"/>
        </w:rPr>
        <w:t xml:space="preserve"> Als het </w:t>
      </w:r>
      <w:r w:rsidR="006707E0" w:rsidRPr="002C5180">
        <w:rPr>
          <w:rFonts w:ascii="Calibri" w:eastAsia="Calibri" w:hAnsi="Calibri" w:cs="Calibri"/>
        </w:rPr>
        <w:t>risico op schendingen van internationaal humanitair recht redelijkerwijs kan worden voorzien</w:t>
      </w:r>
      <w:r w:rsidR="0096074E">
        <w:rPr>
          <w:rFonts w:ascii="Calibri" w:eastAsia="Calibri" w:hAnsi="Calibri" w:cs="Calibri"/>
        </w:rPr>
        <w:t>,</w:t>
      </w:r>
      <w:r w:rsidR="006707E0">
        <w:rPr>
          <w:rFonts w:ascii="Calibri" w:eastAsia="Calibri" w:hAnsi="Calibri" w:cs="Calibri"/>
        </w:rPr>
        <w:t xml:space="preserve"> brengt dit een verplichting met zich mee onder artikel 1 GC voor de Staat tot het </w:t>
      </w:r>
      <w:r w:rsidR="006707E0" w:rsidRPr="00494E8D">
        <w:rPr>
          <w:rFonts w:ascii="Calibri" w:eastAsia="Calibri" w:hAnsi="Calibri" w:cs="Calibri"/>
        </w:rPr>
        <w:t xml:space="preserve">treffen </w:t>
      </w:r>
      <w:r w:rsidR="006707E0">
        <w:rPr>
          <w:rFonts w:ascii="Calibri" w:eastAsia="Calibri" w:hAnsi="Calibri" w:cs="Calibri"/>
        </w:rPr>
        <w:t xml:space="preserve">van maatregelen </w:t>
      </w:r>
      <w:r w:rsidR="006707E0" w:rsidRPr="00494E8D">
        <w:rPr>
          <w:rFonts w:ascii="Calibri" w:eastAsia="Calibri" w:hAnsi="Calibri" w:cs="Calibri"/>
        </w:rPr>
        <w:t xml:space="preserve">om dergelijke schendingen </w:t>
      </w:r>
      <w:r w:rsidR="006707E0">
        <w:rPr>
          <w:rFonts w:ascii="Calibri" w:eastAsia="Calibri" w:hAnsi="Calibri" w:cs="Calibri"/>
        </w:rPr>
        <w:t xml:space="preserve">in </w:t>
      </w:r>
      <w:r w:rsidR="006707E0" w:rsidRPr="00494E8D">
        <w:rPr>
          <w:rFonts w:ascii="Calibri" w:eastAsia="Calibri" w:hAnsi="Calibri" w:cs="Calibri"/>
        </w:rPr>
        <w:t>een conflict te voorkomen</w:t>
      </w:r>
      <w:r w:rsidR="006707E0">
        <w:rPr>
          <w:rFonts w:ascii="Calibri" w:eastAsia="Calibri" w:hAnsi="Calibri" w:cs="Calibri"/>
        </w:rPr>
        <w:t xml:space="preserve">. </w:t>
      </w:r>
      <w:r w:rsidR="000034AC">
        <w:rPr>
          <w:rFonts w:ascii="Calibri" w:eastAsia="Calibri" w:hAnsi="Calibri" w:cs="Calibri"/>
        </w:rPr>
        <w:t>Nu Nederland een dergelijke voorwaarde heeft verbonden aan het gebruik van de F-16’s namelijk dat ze in lijn met het internationaal recht</w:t>
      </w:r>
      <w:r w:rsidR="002E398F">
        <w:rPr>
          <w:rFonts w:ascii="Calibri" w:eastAsia="Calibri" w:hAnsi="Calibri" w:cs="Calibri"/>
        </w:rPr>
        <w:t xml:space="preserve"> (</w:t>
      </w:r>
      <w:r w:rsidR="000034AC">
        <w:rPr>
          <w:rFonts w:ascii="Calibri" w:eastAsia="Calibri" w:hAnsi="Calibri" w:cs="Calibri"/>
        </w:rPr>
        <w:t>waaronder het oorlogsrecht</w:t>
      </w:r>
      <w:r w:rsidR="002E398F">
        <w:rPr>
          <w:rFonts w:ascii="Calibri" w:eastAsia="Calibri" w:hAnsi="Calibri" w:cs="Calibri"/>
        </w:rPr>
        <w:t>)</w:t>
      </w:r>
      <w:r w:rsidR="000034AC">
        <w:rPr>
          <w:rFonts w:ascii="Calibri" w:eastAsia="Calibri" w:hAnsi="Calibri" w:cs="Calibri"/>
        </w:rPr>
        <w:t xml:space="preserve"> moeten worden gebruikt</w:t>
      </w:r>
      <w:r w:rsidR="002E398F">
        <w:rPr>
          <w:rFonts w:ascii="Calibri" w:eastAsia="Calibri" w:hAnsi="Calibri" w:cs="Calibri"/>
        </w:rPr>
        <w:t>,</w:t>
      </w:r>
      <w:r w:rsidR="000034AC">
        <w:rPr>
          <w:rFonts w:ascii="Calibri" w:eastAsia="Calibri" w:hAnsi="Calibri" w:cs="Calibri"/>
        </w:rPr>
        <w:t xml:space="preserve"> </w:t>
      </w:r>
      <w:r w:rsidR="003A301B">
        <w:rPr>
          <w:rFonts w:ascii="Calibri" w:eastAsia="Calibri" w:hAnsi="Calibri" w:cs="Calibri"/>
        </w:rPr>
        <w:t xml:space="preserve">kan worden betoogd dat </w:t>
      </w:r>
      <w:r w:rsidR="000034AC">
        <w:rPr>
          <w:rFonts w:ascii="Calibri" w:eastAsia="Calibri" w:hAnsi="Calibri" w:cs="Calibri"/>
        </w:rPr>
        <w:t xml:space="preserve"> aan deze verplichting </w:t>
      </w:r>
      <w:r w:rsidR="003A301B">
        <w:rPr>
          <w:rFonts w:ascii="Calibri" w:eastAsia="Calibri" w:hAnsi="Calibri" w:cs="Calibri"/>
        </w:rPr>
        <w:t xml:space="preserve">is </w:t>
      </w:r>
      <w:r w:rsidR="000034AC">
        <w:rPr>
          <w:rFonts w:ascii="Calibri" w:eastAsia="Calibri" w:hAnsi="Calibri" w:cs="Calibri"/>
        </w:rPr>
        <w:t xml:space="preserve">voldaan. </w:t>
      </w:r>
    </w:p>
    <w:p w14:paraId="1EB51AE3" w14:textId="5B7684FD" w:rsidR="00A82E94" w:rsidRDefault="00C409C6" w:rsidP="00724FEF">
      <w:pPr>
        <w:spacing w:before="240" w:after="240"/>
        <w:jc w:val="both"/>
        <w:rPr>
          <w:rFonts w:ascii="Calibri" w:eastAsia="Calibri" w:hAnsi="Calibri" w:cs="Calibri"/>
        </w:rPr>
      </w:pPr>
      <w:r>
        <w:rPr>
          <w:rFonts w:ascii="Calibri" w:eastAsia="Calibri" w:hAnsi="Calibri" w:cs="Calibri"/>
        </w:rPr>
        <w:t>O</w:t>
      </w:r>
      <w:r w:rsidR="008B797C">
        <w:rPr>
          <w:rFonts w:ascii="Calibri" w:eastAsia="Calibri" w:hAnsi="Calibri" w:cs="Calibri"/>
        </w:rPr>
        <w:t>f in deze situatie er een verdergaande verplichting bestaat om ook een afzonderlijke voorwaarde te stellen die ziet op het gebruik van clustermunitie</w:t>
      </w:r>
      <w:r>
        <w:rPr>
          <w:rFonts w:ascii="Calibri" w:eastAsia="Calibri" w:hAnsi="Calibri" w:cs="Calibri"/>
        </w:rPr>
        <w:t xml:space="preserve"> moet worden beantwoord op grond van de specifieke regels neergelegd in zowel </w:t>
      </w:r>
      <w:r w:rsidR="00252B07">
        <w:rPr>
          <w:rFonts w:ascii="Calibri" w:eastAsia="Calibri" w:hAnsi="Calibri" w:cs="Calibri"/>
        </w:rPr>
        <w:t xml:space="preserve">het </w:t>
      </w:r>
      <w:r w:rsidR="009220A7">
        <w:rPr>
          <w:rFonts w:ascii="Calibri" w:eastAsia="Calibri" w:hAnsi="Calibri" w:cs="Calibri"/>
        </w:rPr>
        <w:t>CCM</w:t>
      </w:r>
      <w:r w:rsidR="00602DE7">
        <w:rPr>
          <w:rFonts w:ascii="Calibri" w:eastAsia="Calibri" w:hAnsi="Calibri" w:cs="Calibri"/>
        </w:rPr>
        <w:t xml:space="preserve"> als </w:t>
      </w:r>
      <w:r w:rsidR="00602DE7">
        <w:rPr>
          <w:rFonts w:ascii="Calibri" w:eastAsia="Calibri" w:hAnsi="Calibri" w:cs="Calibri"/>
        </w:rPr>
        <w:t>het Wapenhandelsverdrag</w:t>
      </w:r>
      <w:r w:rsidR="008B797C">
        <w:rPr>
          <w:rFonts w:ascii="Calibri" w:eastAsia="Calibri" w:hAnsi="Calibri" w:cs="Calibri"/>
        </w:rPr>
        <w:t>.</w:t>
      </w:r>
      <w:r w:rsidR="002B488F">
        <w:rPr>
          <w:rFonts w:ascii="Calibri" w:eastAsia="Calibri" w:hAnsi="Calibri" w:cs="Calibri"/>
        </w:rPr>
        <w:t xml:space="preserve"> </w:t>
      </w:r>
    </w:p>
    <w:p w14:paraId="4BA627B1" w14:textId="7E2E2B18" w:rsidR="000C0878" w:rsidRPr="00494E8D" w:rsidRDefault="00FE6627" w:rsidP="00724FEF">
      <w:pPr>
        <w:spacing w:before="240" w:after="240"/>
        <w:jc w:val="both"/>
        <w:rPr>
          <w:rFonts w:ascii="Calibri" w:eastAsia="Calibri" w:hAnsi="Calibri" w:cs="Calibri"/>
        </w:rPr>
      </w:pPr>
      <w:r w:rsidRPr="00494E8D">
        <w:rPr>
          <w:rFonts w:ascii="Calibri" w:eastAsia="Calibri" w:hAnsi="Calibri" w:cs="Calibri"/>
        </w:rPr>
        <w:t>Op grond van het Wapenhandelsverdrag moet Nederland voorafgaand aan de toestemming voor de export beoordelen of de wapens mogelijk gebruikt worden voor een schending van IHR (zoals art</w:t>
      </w:r>
      <w:r>
        <w:rPr>
          <w:rFonts w:ascii="Calibri" w:eastAsia="Calibri" w:hAnsi="Calibri" w:cs="Calibri"/>
        </w:rPr>
        <w:t>ikel</w:t>
      </w:r>
      <w:r w:rsidRPr="00494E8D">
        <w:rPr>
          <w:rFonts w:ascii="Calibri" w:eastAsia="Calibri" w:hAnsi="Calibri" w:cs="Calibri"/>
        </w:rPr>
        <w:t xml:space="preserve"> 51 lid 4 sub b AP I). </w:t>
      </w:r>
      <w:r w:rsidR="009F583E">
        <w:rPr>
          <w:rFonts w:ascii="Calibri" w:eastAsia="Calibri" w:hAnsi="Calibri" w:cs="Calibri"/>
        </w:rPr>
        <w:t>G</w:t>
      </w:r>
      <w:r w:rsidR="00A82E94" w:rsidRPr="00494E8D">
        <w:rPr>
          <w:rFonts w:ascii="Calibri" w:eastAsia="Calibri" w:hAnsi="Calibri" w:cs="Calibri"/>
        </w:rPr>
        <w:t xml:space="preserve">esteld </w:t>
      </w:r>
      <w:r w:rsidR="009F583E">
        <w:rPr>
          <w:rFonts w:ascii="Calibri" w:eastAsia="Calibri" w:hAnsi="Calibri" w:cs="Calibri"/>
        </w:rPr>
        <w:t xml:space="preserve">kan </w:t>
      </w:r>
      <w:r w:rsidR="00A82E94" w:rsidRPr="00494E8D">
        <w:rPr>
          <w:rFonts w:ascii="Calibri" w:eastAsia="Calibri" w:hAnsi="Calibri" w:cs="Calibri"/>
        </w:rPr>
        <w:t xml:space="preserve">worden dat </w:t>
      </w:r>
      <w:r w:rsidR="003542F3">
        <w:rPr>
          <w:rFonts w:ascii="Calibri" w:eastAsia="Calibri" w:hAnsi="Calibri" w:cs="Calibri"/>
        </w:rPr>
        <w:t xml:space="preserve">als </w:t>
      </w:r>
      <w:r w:rsidR="00A82E94">
        <w:rPr>
          <w:rFonts w:ascii="Calibri" w:eastAsia="Calibri" w:hAnsi="Calibri" w:cs="Calibri"/>
        </w:rPr>
        <w:t xml:space="preserve">er een </w:t>
      </w:r>
      <w:r w:rsidR="003542F3">
        <w:rPr>
          <w:rFonts w:ascii="Calibri" w:eastAsia="Calibri" w:hAnsi="Calibri" w:cs="Calibri"/>
        </w:rPr>
        <w:t>duidelijk</w:t>
      </w:r>
      <w:r w:rsidR="00A82E94">
        <w:rPr>
          <w:rFonts w:ascii="Calibri" w:eastAsia="Calibri" w:hAnsi="Calibri" w:cs="Calibri"/>
        </w:rPr>
        <w:t xml:space="preserve"> risico is dat </w:t>
      </w:r>
      <w:r w:rsidR="003542F3">
        <w:rPr>
          <w:rFonts w:ascii="Calibri" w:eastAsia="Calibri" w:hAnsi="Calibri" w:cs="Calibri"/>
        </w:rPr>
        <w:t xml:space="preserve">Oekraïne de F-16’s zal gebruiken om </w:t>
      </w:r>
      <w:r w:rsidR="00A82E94" w:rsidRPr="00494E8D">
        <w:rPr>
          <w:rFonts w:ascii="Calibri" w:eastAsia="Calibri" w:hAnsi="Calibri" w:cs="Calibri"/>
        </w:rPr>
        <w:t>clustermunitie</w:t>
      </w:r>
      <w:r w:rsidR="003542F3">
        <w:rPr>
          <w:rFonts w:ascii="Calibri" w:eastAsia="Calibri" w:hAnsi="Calibri" w:cs="Calibri"/>
        </w:rPr>
        <w:t xml:space="preserve"> in te zetten zonder dat </w:t>
      </w:r>
      <w:r w:rsidR="00A82E94" w:rsidRPr="00494E8D">
        <w:rPr>
          <w:rFonts w:ascii="Calibri" w:eastAsia="Calibri" w:hAnsi="Calibri" w:cs="Calibri"/>
        </w:rPr>
        <w:t xml:space="preserve">onderscheid </w:t>
      </w:r>
      <w:r w:rsidR="003542F3">
        <w:rPr>
          <w:rFonts w:ascii="Calibri" w:eastAsia="Calibri" w:hAnsi="Calibri" w:cs="Calibri"/>
        </w:rPr>
        <w:t>wordt ge</w:t>
      </w:r>
      <w:r w:rsidR="00A82E94" w:rsidRPr="00494E8D">
        <w:rPr>
          <w:rFonts w:ascii="Calibri" w:eastAsia="Calibri" w:hAnsi="Calibri" w:cs="Calibri"/>
        </w:rPr>
        <w:t>maakt tussen burgers of burgerdoelen en militaire doelen</w:t>
      </w:r>
      <w:r w:rsidR="003542F3">
        <w:rPr>
          <w:rFonts w:ascii="Calibri" w:eastAsia="Calibri" w:hAnsi="Calibri" w:cs="Calibri"/>
        </w:rPr>
        <w:t xml:space="preserve"> dan </w:t>
      </w:r>
      <w:r>
        <w:rPr>
          <w:rFonts w:ascii="Calibri" w:eastAsia="Calibri" w:hAnsi="Calibri" w:cs="Calibri"/>
        </w:rPr>
        <w:t xml:space="preserve">is de export op grond van het Wapenhandelsverdrag verboden. </w:t>
      </w:r>
      <w:r w:rsidR="008D558F" w:rsidRPr="00494E8D">
        <w:rPr>
          <w:rFonts w:ascii="Calibri" w:eastAsia="Calibri" w:hAnsi="Calibri" w:cs="Calibri"/>
        </w:rPr>
        <w:t xml:space="preserve">Als dit zo is, dan mag de export niet uitgevoerd worden. </w:t>
      </w:r>
      <w:r>
        <w:rPr>
          <w:rFonts w:ascii="Calibri" w:eastAsia="Calibri" w:hAnsi="Calibri" w:cs="Calibri"/>
        </w:rPr>
        <w:t>A</w:t>
      </w:r>
      <w:r w:rsidR="008D558F" w:rsidRPr="00494E8D">
        <w:rPr>
          <w:rFonts w:ascii="Calibri" w:eastAsia="Calibri" w:hAnsi="Calibri" w:cs="Calibri"/>
        </w:rPr>
        <w:t>rt</w:t>
      </w:r>
      <w:r w:rsidR="00003B46">
        <w:rPr>
          <w:rFonts w:ascii="Calibri" w:eastAsia="Calibri" w:hAnsi="Calibri" w:cs="Calibri"/>
        </w:rPr>
        <w:t xml:space="preserve">ikel </w:t>
      </w:r>
      <w:r w:rsidR="008D558F" w:rsidRPr="00494E8D">
        <w:rPr>
          <w:rFonts w:ascii="Calibri" w:eastAsia="Calibri" w:hAnsi="Calibri" w:cs="Calibri"/>
        </w:rPr>
        <w:t>7 lid 2 Wapenhandelsverdrag</w:t>
      </w:r>
      <w:r w:rsidR="00003B46">
        <w:rPr>
          <w:rFonts w:ascii="Calibri" w:eastAsia="Calibri" w:hAnsi="Calibri" w:cs="Calibri"/>
        </w:rPr>
        <w:t xml:space="preserve"> </w:t>
      </w:r>
      <w:r>
        <w:rPr>
          <w:rFonts w:ascii="Calibri" w:eastAsia="Calibri" w:hAnsi="Calibri" w:cs="Calibri"/>
        </w:rPr>
        <w:t>biedt wel de</w:t>
      </w:r>
      <w:r w:rsidR="00003B46">
        <w:rPr>
          <w:rFonts w:ascii="Calibri" w:eastAsia="Calibri" w:hAnsi="Calibri" w:cs="Calibri"/>
        </w:rPr>
        <w:t xml:space="preserve"> ruimte </w:t>
      </w:r>
      <w:r w:rsidR="008D558F" w:rsidRPr="00494E8D">
        <w:rPr>
          <w:rFonts w:ascii="Calibri" w:eastAsia="Calibri" w:hAnsi="Calibri" w:cs="Calibri"/>
        </w:rPr>
        <w:t xml:space="preserve">om </w:t>
      </w:r>
      <w:r w:rsidR="00003B46">
        <w:rPr>
          <w:rFonts w:ascii="Calibri" w:eastAsia="Calibri" w:hAnsi="Calibri" w:cs="Calibri"/>
        </w:rPr>
        <w:t xml:space="preserve">als </w:t>
      </w:r>
      <w:r>
        <w:rPr>
          <w:rFonts w:ascii="Calibri" w:eastAsia="Calibri" w:hAnsi="Calibri" w:cs="Calibri"/>
        </w:rPr>
        <w:t xml:space="preserve">er </w:t>
      </w:r>
      <w:r w:rsidR="00003B46">
        <w:rPr>
          <w:rFonts w:ascii="Calibri" w:eastAsia="Calibri" w:hAnsi="Calibri" w:cs="Calibri"/>
        </w:rPr>
        <w:t xml:space="preserve">een </w:t>
      </w:r>
      <w:r>
        <w:rPr>
          <w:rFonts w:ascii="Calibri" w:eastAsia="Calibri" w:hAnsi="Calibri" w:cs="Calibri"/>
        </w:rPr>
        <w:t>gebruiks</w:t>
      </w:r>
      <w:r w:rsidR="008D558F" w:rsidRPr="00494E8D">
        <w:rPr>
          <w:rFonts w:ascii="Calibri" w:eastAsia="Calibri" w:hAnsi="Calibri" w:cs="Calibri"/>
        </w:rPr>
        <w:t xml:space="preserve">voorwaarde </w:t>
      </w:r>
      <w:r w:rsidR="00003B46">
        <w:rPr>
          <w:rFonts w:ascii="Calibri" w:eastAsia="Calibri" w:hAnsi="Calibri" w:cs="Calibri"/>
        </w:rPr>
        <w:t xml:space="preserve">is gesteld </w:t>
      </w:r>
      <w:r w:rsidR="008D558F" w:rsidRPr="00494E8D">
        <w:rPr>
          <w:rFonts w:ascii="Calibri" w:eastAsia="Calibri" w:hAnsi="Calibri" w:cs="Calibri"/>
        </w:rPr>
        <w:t xml:space="preserve">dat de geleverde </w:t>
      </w:r>
      <w:r>
        <w:rPr>
          <w:rFonts w:eastAsia="Calibri" w:cstheme="minorBidi"/>
        </w:rPr>
        <w:t>F-16’s</w:t>
      </w:r>
      <w:r w:rsidR="008D558F" w:rsidRPr="00494E8D">
        <w:rPr>
          <w:rFonts w:ascii="Calibri" w:eastAsia="Calibri" w:hAnsi="Calibri" w:cs="Calibri"/>
        </w:rPr>
        <w:t xml:space="preserve"> niet gebruikt </w:t>
      </w:r>
      <w:r>
        <w:rPr>
          <w:rFonts w:ascii="Calibri" w:eastAsia="Calibri" w:hAnsi="Calibri" w:cs="Calibri"/>
        </w:rPr>
        <w:t xml:space="preserve">mogen </w:t>
      </w:r>
      <w:r w:rsidR="008D558F" w:rsidRPr="00494E8D">
        <w:rPr>
          <w:rFonts w:ascii="Calibri" w:eastAsia="Calibri" w:hAnsi="Calibri" w:cs="Calibri"/>
        </w:rPr>
        <w:t>worden voor clustermunitie</w:t>
      </w:r>
      <w:r w:rsidR="00746E5C">
        <w:rPr>
          <w:rFonts w:ascii="Calibri" w:eastAsia="Calibri" w:hAnsi="Calibri" w:cs="Calibri"/>
        </w:rPr>
        <w:t>,</w:t>
      </w:r>
      <w:r w:rsidR="00003B46">
        <w:rPr>
          <w:rFonts w:ascii="Calibri" w:eastAsia="Calibri" w:hAnsi="Calibri" w:cs="Calibri"/>
        </w:rPr>
        <w:t xml:space="preserve"> de F-16</w:t>
      </w:r>
      <w:r>
        <w:rPr>
          <w:rFonts w:ascii="Calibri" w:eastAsia="Calibri" w:hAnsi="Calibri" w:cs="Calibri"/>
        </w:rPr>
        <w:t>’</w:t>
      </w:r>
      <w:r w:rsidR="00003B46">
        <w:rPr>
          <w:rFonts w:ascii="Calibri" w:eastAsia="Calibri" w:hAnsi="Calibri" w:cs="Calibri"/>
        </w:rPr>
        <w:t xml:space="preserve">s </w:t>
      </w:r>
      <w:r>
        <w:rPr>
          <w:rFonts w:ascii="Calibri" w:eastAsia="Calibri" w:hAnsi="Calibri" w:cs="Calibri"/>
        </w:rPr>
        <w:t xml:space="preserve">dan </w:t>
      </w:r>
      <w:r w:rsidR="00003B46">
        <w:rPr>
          <w:rFonts w:ascii="Calibri" w:eastAsia="Calibri" w:hAnsi="Calibri" w:cs="Calibri"/>
        </w:rPr>
        <w:t xml:space="preserve">wel </w:t>
      </w:r>
      <w:r w:rsidR="00746E5C">
        <w:rPr>
          <w:rFonts w:ascii="Calibri" w:eastAsia="Calibri" w:hAnsi="Calibri" w:cs="Calibri"/>
        </w:rPr>
        <w:t>te exporteren</w:t>
      </w:r>
      <w:r w:rsidR="008D558F" w:rsidRPr="00494E8D">
        <w:rPr>
          <w:rFonts w:ascii="Calibri" w:eastAsia="Calibri" w:hAnsi="Calibri" w:cs="Calibri"/>
        </w:rPr>
        <w:t>.</w:t>
      </w:r>
    </w:p>
    <w:sectPr w:rsidR="000C0878" w:rsidRPr="00494E8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90BD2" w14:textId="77777777" w:rsidR="00A52646" w:rsidRDefault="00A52646" w:rsidP="00DA5552">
      <w:pPr>
        <w:spacing w:after="0" w:line="240" w:lineRule="auto"/>
      </w:pPr>
      <w:r>
        <w:separator/>
      </w:r>
    </w:p>
  </w:endnote>
  <w:endnote w:type="continuationSeparator" w:id="0">
    <w:p w14:paraId="2D0A3B02" w14:textId="77777777" w:rsidR="00A52646" w:rsidRDefault="00A52646" w:rsidP="00DA5552">
      <w:pPr>
        <w:spacing w:after="0" w:line="240" w:lineRule="auto"/>
      </w:pPr>
      <w:r>
        <w:continuationSeparator/>
      </w:r>
    </w:p>
  </w:endnote>
  <w:endnote w:type="continuationNotice" w:id="1">
    <w:p w14:paraId="4FBD8906" w14:textId="77777777" w:rsidR="00A52646" w:rsidRDefault="00A526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8928" w14:textId="77777777" w:rsidR="007F127D" w:rsidRDefault="007F127D">
    <w:pPr>
      <w:pStyle w:val="Voettekst"/>
      <w:jc w:val="right"/>
    </w:pPr>
    <w:r>
      <w:fldChar w:fldCharType="begin"/>
    </w:r>
    <w:r>
      <w:instrText>PAGE   \* MERGEFORMAT</w:instrText>
    </w:r>
    <w:r>
      <w:fldChar w:fldCharType="separate"/>
    </w:r>
    <w:r>
      <w:t>2</w:t>
    </w:r>
    <w:r>
      <w:fldChar w:fldCharType="end"/>
    </w:r>
  </w:p>
  <w:p w14:paraId="2B2603C1" w14:textId="32CE1A03" w:rsidR="007F127D" w:rsidRPr="00CB0C67" w:rsidRDefault="32442647" w:rsidP="32442647">
    <w:pPr>
      <w:pStyle w:val="Voettekst"/>
      <w:rPr>
        <w:rFonts w:cstheme="minorBidi"/>
        <w:sz w:val="20"/>
        <w:szCs w:val="20"/>
      </w:rPr>
    </w:pPr>
    <w:bookmarkStart w:id="27" w:name="_Hlk162440141"/>
    <w:bookmarkStart w:id="28" w:name="_Hlk162440142"/>
    <w:r w:rsidRPr="32442647">
      <w:rPr>
        <w:rFonts w:cstheme="minorBidi"/>
        <w:sz w:val="20"/>
        <w:szCs w:val="20"/>
      </w:rPr>
      <w:t>Memo</w:t>
    </w:r>
    <w:bookmarkEnd w:id="27"/>
    <w:bookmarkEnd w:id="28"/>
    <w:r w:rsidR="00A86CF7">
      <w:rPr>
        <w:rFonts w:cstheme="minorBidi"/>
        <w:sz w:val="20"/>
        <w:szCs w:val="20"/>
      </w:rPr>
      <w:t xml:space="preserve"> PvdD</w:t>
    </w:r>
  </w:p>
  <w:p w14:paraId="77F2EB6B" w14:textId="0FF400EE" w:rsidR="32442647" w:rsidRDefault="32442647" w:rsidP="32442647">
    <w:pPr>
      <w:pStyle w:val="Voettekst"/>
    </w:pPr>
    <w:r w:rsidRPr="32442647">
      <w:rPr>
        <w:i/>
        <w:iCs/>
        <w:sz w:val="18"/>
        <w:szCs w:val="18"/>
      </w:rPr>
      <w:t>Clustermunitie Oekraïne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9B215" w14:textId="77777777" w:rsidR="00A52646" w:rsidRDefault="00A52646" w:rsidP="00DA5552">
      <w:pPr>
        <w:spacing w:after="0" w:line="240" w:lineRule="auto"/>
      </w:pPr>
      <w:r>
        <w:separator/>
      </w:r>
    </w:p>
  </w:footnote>
  <w:footnote w:type="continuationSeparator" w:id="0">
    <w:p w14:paraId="0DE13016" w14:textId="77777777" w:rsidR="00A52646" w:rsidRDefault="00A52646" w:rsidP="00DA5552">
      <w:pPr>
        <w:spacing w:after="0" w:line="240" w:lineRule="auto"/>
      </w:pPr>
      <w:r>
        <w:continuationSeparator/>
      </w:r>
    </w:p>
  </w:footnote>
  <w:footnote w:type="continuationNotice" w:id="1">
    <w:p w14:paraId="47F58A05" w14:textId="77777777" w:rsidR="00A52646" w:rsidRDefault="00A52646">
      <w:pPr>
        <w:spacing w:after="0" w:line="240" w:lineRule="auto"/>
      </w:pPr>
    </w:p>
  </w:footnote>
  <w:footnote w:id="2">
    <w:p w14:paraId="63B7A7CB" w14:textId="20054E6F" w:rsidR="00216406" w:rsidRPr="00E97424" w:rsidRDefault="00216406" w:rsidP="00E97424">
      <w:pPr>
        <w:pStyle w:val="Voetnoottekst"/>
        <w:jc w:val="both"/>
        <w:rPr>
          <w:sz w:val="18"/>
          <w:szCs w:val="18"/>
        </w:rPr>
      </w:pPr>
      <w:r w:rsidRPr="00E97424">
        <w:rPr>
          <w:rStyle w:val="Voetnootmarkering"/>
          <w:sz w:val="18"/>
          <w:szCs w:val="18"/>
        </w:rPr>
        <w:footnoteRef/>
      </w:r>
      <w:r w:rsidR="357766D2" w:rsidRPr="00E97424">
        <w:rPr>
          <w:sz w:val="18"/>
          <w:szCs w:val="18"/>
        </w:rPr>
        <w:t xml:space="preserve"> ‘Militaire steun aan Oekraïne’, defensie.nl, te raadplegen via: </w:t>
      </w:r>
      <w:hyperlink r:id="rId1">
        <w:r w:rsidR="357766D2" w:rsidRPr="00E97424">
          <w:rPr>
            <w:rStyle w:val="Hyperlink"/>
            <w:sz w:val="18"/>
            <w:szCs w:val="18"/>
          </w:rPr>
          <w:t>https://www.defensie.nl/onderwerpen/oostflank-navo-gebied/militaire-steun-aan-oekraine</w:t>
        </w:r>
      </w:hyperlink>
      <w:r w:rsidR="357766D2" w:rsidRPr="00E97424">
        <w:rPr>
          <w:sz w:val="18"/>
          <w:szCs w:val="18"/>
        </w:rPr>
        <w:t xml:space="preserve">.  </w:t>
      </w:r>
    </w:p>
  </w:footnote>
  <w:footnote w:id="3">
    <w:p w14:paraId="232A8C96" w14:textId="4C974F73" w:rsidR="000E54D1" w:rsidRPr="00E97424" w:rsidRDefault="000E54D1" w:rsidP="00E97424">
      <w:pPr>
        <w:pStyle w:val="Voetnoottekst"/>
        <w:jc w:val="both"/>
        <w:rPr>
          <w:sz w:val="18"/>
          <w:szCs w:val="18"/>
        </w:rPr>
      </w:pPr>
      <w:r w:rsidRPr="00E97424">
        <w:rPr>
          <w:rStyle w:val="Voetnootmarkering"/>
          <w:sz w:val="18"/>
          <w:szCs w:val="18"/>
        </w:rPr>
        <w:footnoteRef/>
      </w:r>
      <w:r w:rsidR="357766D2" w:rsidRPr="00E97424">
        <w:rPr>
          <w:sz w:val="18"/>
          <w:szCs w:val="18"/>
        </w:rPr>
        <w:t xml:space="preserve"> ‘Na F-16’s kondigt minister Brekelmans in Oekraïne actieplan drones aan’, defensie.nl, 6 </w:t>
      </w:r>
      <w:proofErr w:type="spellStart"/>
      <w:r w:rsidR="357766D2" w:rsidRPr="00E97424">
        <w:rPr>
          <w:sz w:val="18"/>
          <w:szCs w:val="18"/>
        </w:rPr>
        <w:t>otkober</w:t>
      </w:r>
      <w:proofErr w:type="spellEnd"/>
      <w:r w:rsidR="357766D2" w:rsidRPr="00E97424">
        <w:rPr>
          <w:sz w:val="18"/>
          <w:szCs w:val="18"/>
        </w:rPr>
        <w:t xml:space="preserve"> 2024, te raadplegen via: </w:t>
      </w:r>
      <w:hyperlink r:id="rId2">
        <w:r w:rsidR="357766D2" w:rsidRPr="00E97424">
          <w:rPr>
            <w:rStyle w:val="Hyperlink"/>
            <w:sz w:val="18"/>
            <w:szCs w:val="18"/>
          </w:rPr>
          <w:t>https://www.defensie.nl/onderwerpen/oostflank-navo-gebied/nieuws/2024/10/05/na-f-16s-kondigt-brekelmans-in-oekraine-actieplan-drones-aan</w:t>
        </w:r>
      </w:hyperlink>
      <w:r w:rsidR="357766D2" w:rsidRPr="00E97424">
        <w:rPr>
          <w:sz w:val="18"/>
          <w:szCs w:val="18"/>
        </w:rPr>
        <w:t xml:space="preserve">. </w:t>
      </w:r>
    </w:p>
  </w:footnote>
  <w:footnote w:id="4">
    <w:p w14:paraId="0141B837" w14:textId="5BB0E266" w:rsidR="00ED179D" w:rsidRPr="00E97424" w:rsidRDefault="00ED179D" w:rsidP="00E97424">
      <w:pPr>
        <w:pStyle w:val="Voetnoottekst"/>
        <w:jc w:val="both"/>
        <w:rPr>
          <w:sz w:val="18"/>
          <w:szCs w:val="18"/>
        </w:rPr>
      </w:pPr>
      <w:r w:rsidRPr="00E97424">
        <w:rPr>
          <w:rStyle w:val="Voetnootmarkering"/>
          <w:sz w:val="18"/>
          <w:szCs w:val="18"/>
        </w:rPr>
        <w:footnoteRef/>
      </w:r>
      <w:r w:rsidR="357766D2" w:rsidRPr="00E97424">
        <w:rPr>
          <w:sz w:val="18"/>
          <w:szCs w:val="18"/>
        </w:rPr>
        <w:t xml:space="preserve"> ‘Militaire steun aan Oekraïne’, defensie.nl, te raadplegen via: </w:t>
      </w:r>
      <w:hyperlink r:id="rId3">
        <w:r w:rsidR="357766D2" w:rsidRPr="00E97424">
          <w:rPr>
            <w:rStyle w:val="Hyperlink"/>
            <w:sz w:val="18"/>
            <w:szCs w:val="18"/>
          </w:rPr>
          <w:t>https://www.defensie.nl/onderwerpen/oostflank-navo-gebied/militaire-steun-aan-oekraine</w:t>
        </w:r>
      </w:hyperlink>
      <w:r w:rsidR="357766D2" w:rsidRPr="00E97424">
        <w:rPr>
          <w:sz w:val="18"/>
          <w:szCs w:val="18"/>
        </w:rPr>
        <w:t xml:space="preserve">;  ‘Nederlandse F-16’s krijgen nieuwe bestemming in Roemenië voor training vliegers’, defensie.nl, 13 december 2024, te raadplegen via: </w:t>
      </w:r>
      <w:hyperlink r:id="rId4" w:history="1">
        <w:r w:rsidR="357766D2" w:rsidRPr="00E97424">
          <w:rPr>
            <w:rStyle w:val="Hyperlink"/>
            <w:sz w:val="18"/>
            <w:szCs w:val="18"/>
          </w:rPr>
          <w:t>https://www.defensie.nl/onderwerpen/oostflank-navo-gebied/nieuws/2024/12/13/nederlandse-f16s-krijgen-een-nieuwe-bestemming-in-roemenie-voor-training-van-vliegers</w:t>
        </w:r>
      </w:hyperlink>
      <w:r w:rsidR="357766D2" w:rsidRPr="00E97424">
        <w:rPr>
          <w:sz w:val="18"/>
          <w:szCs w:val="18"/>
        </w:rPr>
        <w:t xml:space="preserve">.  </w:t>
      </w:r>
    </w:p>
  </w:footnote>
  <w:footnote w:id="5">
    <w:p w14:paraId="262BDC32" w14:textId="64AE0E6F" w:rsidR="00752246" w:rsidRPr="00E97424" w:rsidRDefault="00752246" w:rsidP="00E97424">
      <w:pPr>
        <w:pStyle w:val="Voetnoottekst"/>
        <w:jc w:val="both"/>
        <w:rPr>
          <w:sz w:val="18"/>
          <w:szCs w:val="18"/>
        </w:rPr>
      </w:pPr>
      <w:r w:rsidRPr="00E97424">
        <w:rPr>
          <w:rStyle w:val="Voetnootmarkering"/>
          <w:sz w:val="18"/>
          <w:szCs w:val="18"/>
        </w:rPr>
        <w:footnoteRef/>
      </w:r>
      <w:r w:rsidR="357766D2" w:rsidRPr="00E97424">
        <w:rPr>
          <w:sz w:val="18"/>
          <w:szCs w:val="18"/>
        </w:rPr>
        <w:t xml:space="preserve"> ‘Oekraïense militairen in Nederland opgeleid voor onderhoud F-16’s’, defensie.nl, 21 mei 2024, te raadplegen via: </w:t>
      </w:r>
      <w:hyperlink r:id="rId5">
        <w:r w:rsidR="357766D2" w:rsidRPr="00E97424">
          <w:rPr>
            <w:rStyle w:val="Hyperlink"/>
            <w:sz w:val="18"/>
            <w:szCs w:val="18"/>
          </w:rPr>
          <w:t>https://www.defensie.nl/onderwerpen/oostflank-navo-gebied/nieuws/2024/05/21/oekraiense-militairen-in-nederland-opgeleid-voor-onderhoud-f-16s</w:t>
        </w:r>
      </w:hyperlink>
      <w:r w:rsidR="357766D2" w:rsidRPr="00E97424">
        <w:rPr>
          <w:sz w:val="18"/>
          <w:szCs w:val="18"/>
        </w:rPr>
        <w:t xml:space="preserve">. </w:t>
      </w:r>
    </w:p>
  </w:footnote>
  <w:footnote w:id="6">
    <w:p w14:paraId="5A07FEFD" w14:textId="0658FD4D" w:rsidR="00CB27A2" w:rsidRPr="00E97424" w:rsidRDefault="00CB27A2" w:rsidP="00E97424">
      <w:pPr>
        <w:pStyle w:val="Voetnoottekst"/>
        <w:jc w:val="both"/>
        <w:rPr>
          <w:sz w:val="18"/>
          <w:szCs w:val="18"/>
        </w:rPr>
      </w:pPr>
      <w:r w:rsidRPr="00E97424">
        <w:rPr>
          <w:rStyle w:val="Voetnootmarkering"/>
          <w:sz w:val="18"/>
          <w:szCs w:val="18"/>
        </w:rPr>
        <w:footnoteRef/>
      </w:r>
      <w:r w:rsidR="357766D2" w:rsidRPr="00E97424">
        <w:rPr>
          <w:sz w:val="18"/>
          <w:szCs w:val="18"/>
        </w:rPr>
        <w:t xml:space="preserve"> ‘Munitie en ondersteuningsmaterialen voor Oekraïense F-16’s’, defensie.nl, 6 september 2024, te raadplegen via: </w:t>
      </w:r>
      <w:hyperlink r:id="rId6">
        <w:r w:rsidR="357766D2" w:rsidRPr="00E97424">
          <w:rPr>
            <w:rStyle w:val="Hyperlink"/>
            <w:sz w:val="18"/>
            <w:szCs w:val="18"/>
          </w:rPr>
          <w:t>https://www.defensie.nl/onderwerpen/oostflank-navo-gebied/nieuws/2024/09/06/munitie-en-ondersteuningsmaterialen-voor-oekraiense-f-16s</w:t>
        </w:r>
      </w:hyperlink>
      <w:r w:rsidR="357766D2" w:rsidRPr="00E97424">
        <w:rPr>
          <w:sz w:val="18"/>
          <w:szCs w:val="18"/>
        </w:rPr>
        <w:t xml:space="preserve">. </w:t>
      </w:r>
    </w:p>
  </w:footnote>
  <w:footnote w:id="7">
    <w:p w14:paraId="5869E76E" w14:textId="7166ACB5" w:rsidR="00351B5E" w:rsidRPr="00E97424" w:rsidRDefault="00351B5E" w:rsidP="00E97424">
      <w:pPr>
        <w:pStyle w:val="Voetnoottekst"/>
        <w:jc w:val="both"/>
        <w:rPr>
          <w:sz w:val="18"/>
          <w:szCs w:val="18"/>
        </w:rPr>
      </w:pPr>
      <w:r w:rsidRPr="00E97424">
        <w:rPr>
          <w:rStyle w:val="Voetnootmarkering"/>
          <w:sz w:val="18"/>
          <w:szCs w:val="18"/>
        </w:rPr>
        <w:footnoteRef/>
      </w:r>
      <w:r w:rsidR="357766D2" w:rsidRPr="00E97424">
        <w:rPr>
          <w:sz w:val="18"/>
          <w:szCs w:val="18"/>
        </w:rPr>
        <w:t xml:space="preserve"> Brief van de Minister van Defensie van 1 juli 2024, ‘Aanvullende informatie leveringen militaire goederen aan Oekraïne’, te raadplegen via: </w:t>
      </w:r>
      <w:r w:rsidR="00D12A20" w:rsidRPr="00E97424">
        <w:rPr>
          <w:sz w:val="18"/>
          <w:szCs w:val="18"/>
        </w:rPr>
        <w:t xml:space="preserve"> </w:t>
      </w:r>
      <w:r w:rsidRPr="00E97424">
        <w:rPr>
          <w:sz w:val="18"/>
          <w:szCs w:val="18"/>
        </w:rPr>
        <w:t xml:space="preserve"> </w:t>
      </w:r>
      <w:hyperlink r:id="rId7" w:history="1">
        <w:r w:rsidRPr="00E97424">
          <w:rPr>
            <w:rStyle w:val="Hyperlink"/>
            <w:sz w:val="18"/>
            <w:szCs w:val="18"/>
          </w:rPr>
          <w:t>https://www.defensie.nl/onderwerpen/materieel/nieuws/2024/07/10/%E2%82%AC-300-miljoen-extra-om-voor-oekraine-bestemde-f-16s-te-bewapenen</w:t>
        </w:r>
      </w:hyperlink>
      <w:r w:rsidRPr="00E97424">
        <w:rPr>
          <w:sz w:val="18"/>
          <w:szCs w:val="18"/>
        </w:rPr>
        <w:t xml:space="preserve"> </w:t>
      </w:r>
      <w:r w:rsidR="357766D2" w:rsidRPr="00E97424">
        <w:rPr>
          <w:sz w:val="18"/>
          <w:szCs w:val="18"/>
        </w:rPr>
        <w:t xml:space="preserve">; ‘€ 300 miljoen extra om voor Oekraïne bestemde F-16’s te bewapenen’, defensie.nl, 10 juli 2024, te raadplegen via: </w:t>
      </w:r>
      <w:hyperlink r:id="rId8">
        <w:r w:rsidR="357766D2" w:rsidRPr="00E97424">
          <w:rPr>
            <w:rStyle w:val="Hyperlink"/>
            <w:sz w:val="18"/>
            <w:szCs w:val="18"/>
          </w:rPr>
          <w:t>https://www.defensie.nl/onderwerpen/materieel/nieuws/2024/07/10/%E2%82%AC-300-miljoen-extra-om-voor-oekraine-bestemde-f-16s-te-bewapenen</w:t>
        </w:r>
      </w:hyperlink>
      <w:r w:rsidR="357766D2" w:rsidRPr="00E97424">
        <w:rPr>
          <w:sz w:val="18"/>
          <w:szCs w:val="18"/>
        </w:rPr>
        <w:t xml:space="preserve">.  </w:t>
      </w:r>
    </w:p>
  </w:footnote>
  <w:footnote w:id="8">
    <w:p w14:paraId="540DC2D9" w14:textId="7B7AEE90" w:rsidR="001169C1" w:rsidRPr="00C92AF8" w:rsidRDefault="001169C1" w:rsidP="00E97424">
      <w:pPr>
        <w:pStyle w:val="Voetnoottekst"/>
        <w:jc w:val="both"/>
        <w:rPr>
          <w:sz w:val="18"/>
          <w:szCs w:val="18"/>
        </w:rPr>
      </w:pPr>
      <w:r w:rsidRPr="00E97424">
        <w:rPr>
          <w:rStyle w:val="Voetnootmarkering"/>
          <w:sz w:val="18"/>
          <w:szCs w:val="18"/>
        </w:rPr>
        <w:footnoteRef/>
      </w:r>
      <w:r w:rsidR="357766D2" w:rsidRPr="00C92AF8">
        <w:rPr>
          <w:sz w:val="18"/>
          <w:szCs w:val="18"/>
        </w:rPr>
        <w:t xml:space="preserve"> ‘F-16's actief in luchtruim boven Oekraïne’, luchtvaartnieuws.nl, 4 augustus 2024, te raadplegen via: </w:t>
      </w:r>
      <w:hyperlink r:id="rId9">
        <w:r w:rsidR="357766D2" w:rsidRPr="00C92AF8">
          <w:rPr>
            <w:rStyle w:val="Hyperlink"/>
            <w:rFonts w:eastAsiaTheme="majorEastAsia"/>
            <w:sz w:val="18"/>
            <w:szCs w:val="18"/>
          </w:rPr>
          <w:t>https://www.luchtvaartnieuws.nl/nieuws/categorie/4/militair/f-16s-actief-in-luchtruim-boven-oekraine</w:t>
        </w:r>
      </w:hyperlink>
      <w:r w:rsidR="357766D2" w:rsidRPr="00C92AF8">
        <w:rPr>
          <w:rFonts w:eastAsiaTheme="majorEastAsia"/>
          <w:sz w:val="18"/>
          <w:szCs w:val="18"/>
        </w:rPr>
        <w:t xml:space="preserve">. </w:t>
      </w:r>
    </w:p>
  </w:footnote>
  <w:footnote w:id="9">
    <w:p w14:paraId="728A0A8D" w14:textId="1F232B06" w:rsidR="00211862" w:rsidRPr="00C92AF8" w:rsidRDefault="00211862" w:rsidP="00E97424">
      <w:pPr>
        <w:pStyle w:val="Voetnoottekst"/>
        <w:jc w:val="both"/>
        <w:rPr>
          <w:sz w:val="18"/>
          <w:szCs w:val="18"/>
        </w:rPr>
      </w:pPr>
      <w:r w:rsidRPr="00E97424">
        <w:rPr>
          <w:rStyle w:val="Voetnootmarkering"/>
          <w:sz w:val="18"/>
          <w:szCs w:val="18"/>
          <w:lang w:val="en-US"/>
        </w:rPr>
        <w:footnoteRef/>
      </w:r>
      <w:r w:rsidR="357766D2" w:rsidRPr="00C92AF8">
        <w:rPr>
          <w:sz w:val="18"/>
          <w:szCs w:val="18"/>
        </w:rPr>
        <w:t xml:space="preserve"> ‘Ukraine: </w:t>
      </w:r>
      <w:proofErr w:type="spellStart"/>
      <w:r w:rsidR="357766D2" w:rsidRPr="00C92AF8">
        <w:rPr>
          <w:sz w:val="18"/>
          <w:szCs w:val="18"/>
        </w:rPr>
        <w:t>Civilian</w:t>
      </w:r>
      <w:proofErr w:type="spellEnd"/>
      <w:r w:rsidR="357766D2" w:rsidRPr="00C92AF8">
        <w:rPr>
          <w:sz w:val="18"/>
          <w:szCs w:val="18"/>
        </w:rPr>
        <w:t xml:space="preserve"> </w:t>
      </w:r>
      <w:proofErr w:type="spellStart"/>
      <w:r w:rsidR="357766D2" w:rsidRPr="00C92AF8">
        <w:rPr>
          <w:sz w:val="18"/>
          <w:szCs w:val="18"/>
        </w:rPr>
        <w:t>Deaths</w:t>
      </w:r>
      <w:proofErr w:type="spellEnd"/>
      <w:r w:rsidR="357766D2" w:rsidRPr="00C92AF8">
        <w:rPr>
          <w:sz w:val="18"/>
          <w:szCs w:val="18"/>
        </w:rPr>
        <w:t xml:space="preserve"> </w:t>
      </w:r>
      <w:proofErr w:type="spellStart"/>
      <w:r w:rsidR="357766D2" w:rsidRPr="00C92AF8">
        <w:rPr>
          <w:sz w:val="18"/>
          <w:szCs w:val="18"/>
        </w:rPr>
        <w:t>from</w:t>
      </w:r>
      <w:proofErr w:type="spellEnd"/>
      <w:r w:rsidR="357766D2" w:rsidRPr="00C92AF8">
        <w:rPr>
          <w:sz w:val="18"/>
          <w:szCs w:val="18"/>
        </w:rPr>
        <w:t xml:space="preserve"> Cluster </w:t>
      </w:r>
      <w:proofErr w:type="spellStart"/>
      <w:r w:rsidR="357766D2" w:rsidRPr="00C92AF8">
        <w:rPr>
          <w:sz w:val="18"/>
          <w:szCs w:val="18"/>
        </w:rPr>
        <w:t>Munitions</w:t>
      </w:r>
      <w:proofErr w:type="spellEnd"/>
      <w:r w:rsidR="357766D2" w:rsidRPr="00C92AF8">
        <w:rPr>
          <w:sz w:val="18"/>
          <w:szCs w:val="18"/>
        </w:rPr>
        <w:t xml:space="preserve"> – New Research Details </w:t>
      </w:r>
      <w:proofErr w:type="spellStart"/>
      <w:r w:rsidR="357766D2" w:rsidRPr="00C92AF8">
        <w:rPr>
          <w:sz w:val="18"/>
          <w:szCs w:val="18"/>
        </w:rPr>
        <w:t>Ukrainian</w:t>
      </w:r>
      <w:proofErr w:type="spellEnd"/>
      <w:r w:rsidR="357766D2" w:rsidRPr="00C92AF8">
        <w:rPr>
          <w:sz w:val="18"/>
          <w:szCs w:val="18"/>
        </w:rPr>
        <w:t xml:space="preserve"> </w:t>
      </w:r>
      <w:proofErr w:type="spellStart"/>
      <w:r w:rsidR="357766D2" w:rsidRPr="00C92AF8">
        <w:rPr>
          <w:sz w:val="18"/>
          <w:szCs w:val="18"/>
        </w:rPr>
        <w:t>Use</w:t>
      </w:r>
      <w:proofErr w:type="spellEnd"/>
      <w:r w:rsidR="357766D2" w:rsidRPr="00C92AF8">
        <w:rPr>
          <w:sz w:val="18"/>
          <w:szCs w:val="18"/>
        </w:rPr>
        <w:t xml:space="preserve"> of </w:t>
      </w:r>
      <w:proofErr w:type="spellStart"/>
      <w:r w:rsidR="357766D2" w:rsidRPr="00C92AF8">
        <w:rPr>
          <w:sz w:val="18"/>
          <w:szCs w:val="18"/>
        </w:rPr>
        <w:t>Widely</w:t>
      </w:r>
      <w:proofErr w:type="spellEnd"/>
      <w:r w:rsidR="357766D2" w:rsidRPr="00C92AF8">
        <w:rPr>
          <w:sz w:val="18"/>
          <w:szCs w:val="18"/>
        </w:rPr>
        <w:t xml:space="preserve"> </w:t>
      </w:r>
      <w:proofErr w:type="spellStart"/>
      <w:r w:rsidR="357766D2" w:rsidRPr="00C92AF8">
        <w:rPr>
          <w:sz w:val="18"/>
          <w:szCs w:val="18"/>
        </w:rPr>
        <w:t>Banned</w:t>
      </w:r>
      <w:proofErr w:type="spellEnd"/>
      <w:r w:rsidR="357766D2" w:rsidRPr="00C92AF8">
        <w:rPr>
          <w:sz w:val="18"/>
          <w:szCs w:val="18"/>
        </w:rPr>
        <w:t xml:space="preserve"> </w:t>
      </w:r>
      <w:proofErr w:type="spellStart"/>
      <w:r w:rsidR="357766D2" w:rsidRPr="00C92AF8">
        <w:rPr>
          <w:sz w:val="18"/>
          <w:szCs w:val="18"/>
        </w:rPr>
        <w:t>Weapon</w:t>
      </w:r>
      <w:proofErr w:type="spellEnd"/>
      <w:r w:rsidR="357766D2" w:rsidRPr="00C92AF8">
        <w:rPr>
          <w:sz w:val="18"/>
          <w:szCs w:val="18"/>
        </w:rPr>
        <w:t xml:space="preserve">’, hrw.org, 6 juli 2023, te raadplegen via: </w:t>
      </w:r>
      <w:hyperlink r:id="rId10">
        <w:r w:rsidR="794E25B3" w:rsidRPr="00C92AF8">
          <w:rPr>
            <w:rStyle w:val="Hyperlink"/>
            <w:sz w:val="18"/>
            <w:szCs w:val="18"/>
          </w:rPr>
          <w:t>https://www.hrw.org/news/2023/07/06/ukraine-civilian-deaths-cluster-munitions</w:t>
        </w:r>
      </w:hyperlink>
      <w:r w:rsidR="794E25B3" w:rsidRPr="00C92AF8">
        <w:rPr>
          <w:sz w:val="18"/>
          <w:szCs w:val="18"/>
        </w:rPr>
        <w:t>;</w:t>
      </w:r>
      <w:r w:rsidR="357766D2" w:rsidRPr="00C92AF8">
        <w:rPr>
          <w:sz w:val="18"/>
          <w:szCs w:val="18"/>
        </w:rPr>
        <w:t xml:space="preserve"> onder verwijzing naar: Bericht op X van de Minister van Defensie van Oekraïne van 7 juli 2023, te raadplegen via: </w:t>
      </w:r>
      <w:hyperlink r:id="rId11">
        <w:r w:rsidR="357766D2" w:rsidRPr="00C92AF8">
          <w:rPr>
            <w:rStyle w:val="Hyperlink"/>
            <w:sz w:val="18"/>
            <w:szCs w:val="18"/>
          </w:rPr>
          <w:t>https://x.com/oleksiireznikov/status/1677410470108471298</w:t>
        </w:r>
      </w:hyperlink>
      <w:r w:rsidR="357766D2" w:rsidRPr="00C92AF8">
        <w:rPr>
          <w:sz w:val="18"/>
          <w:szCs w:val="18"/>
        </w:rPr>
        <w:t xml:space="preserve">. </w:t>
      </w:r>
    </w:p>
  </w:footnote>
  <w:footnote w:id="10">
    <w:p w14:paraId="08B35502" w14:textId="0B037C75" w:rsidR="005C6D29" w:rsidRPr="00E97424" w:rsidRDefault="005C6D29" w:rsidP="00E97424">
      <w:pPr>
        <w:pStyle w:val="Voetnoottekst"/>
        <w:jc w:val="both"/>
        <w:rPr>
          <w:sz w:val="18"/>
          <w:szCs w:val="18"/>
        </w:rPr>
      </w:pPr>
      <w:r w:rsidRPr="00E97424">
        <w:rPr>
          <w:rStyle w:val="Voetnootmarkering"/>
          <w:sz w:val="18"/>
          <w:szCs w:val="18"/>
          <w:lang w:val="en-US"/>
        </w:rPr>
        <w:footnoteRef/>
      </w:r>
      <w:r w:rsidR="357766D2" w:rsidRPr="00C92AF8">
        <w:rPr>
          <w:sz w:val="18"/>
          <w:szCs w:val="18"/>
        </w:rPr>
        <w:t xml:space="preserve"> Mensenrechtenraad van de Verenigde Naties (15 maart 2023), </w:t>
      </w:r>
      <w:r w:rsidR="357766D2" w:rsidRPr="00C92AF8">
        <w:rPr>
          <w:i/>
          <w:iCs/>
          <w:sz w:val="18"/>
          <w:szCs w:val="18"/>
        </w:rPr>
        <w:t xml:space="preserve">Report of </w:t>
      </w:r>
      <w:proofErr w:type="spellStart"/>
      <w:r w:rsidR="357766D2" w:rsidRPr="00C92AF8">
        <w:rPr>
          <w:i/>
          <w:iCs/>
          <w:sz w:val="18"/>
          <w:szCs w:val="18"/>
        </w:rPr>
        <w:t>the</w:t>
      </w:r>
      <w:proofErr w:type="spellEnd"/>
      <w:r w:rsidR="357766D2" w:rsidRPr="00C92AF8">
        <w:rPr>
          <w:i/>
          <w:iCs/>
          <w:sz w:val="18"/>
          <w:szCs w:val="18"/>
        </w:rPr>
        <w:t xml:space="preserve"> Independent International </w:t>
      </w:r>
      <w:proofErr w:type="spellStart"/>
      <w:r w:rsidR="357766D2" w:rsidRPr="00C92AF8">
        <w:rPr>
          <w:i/>
          <w:iCs/>
          <w:sz w:val="18"/>
          <w:szCs w:val="18"/>
        </w:rPr>
        <w:t>Commission</w:t>
      </w:r>
      <w:proofErr w:type="spellEnd"/>
      <w:r w:rsidR="357766D2" w:rsidRPr="00C92AF8">
        <w:rPr>
          <w:i/>
          <w:iCs/>
          <w:sz w:val="18"/>
          <w:szCs w:val="18"/>
        </w:rPr>
        <w:t xml:space="preserve"> of </w:t>
      </w:r>
      <w:proofErr w:type="spellStart"/>
      <w:r w:rsidR="357766D2" w:rsidRPr="00C92AF8">
        <w:rPr>
          <w:i/>
          <w:iCs/>
          <w:sz w:val="18"/>
          <w:szCs w:val="18"/>
        </w:rPr>
        <w:t>Inquiry</w:t>
      </w:r>
      <w:proofErr w:type="spellEnd"/>
      <w:r w:rsidR="357766D2" w:rsidRPr="00C92AF8">
        <w:rPr>
          <w:i/>
          <w:iCs/>
          <w:sz w:val="18"/>
          <w:szCs w:val="18"/>
        </w:rPr>
        <w:t xml:space="preserve"> on Ukraine</w:t>
      </w:r>
      <w:r w:rsidR="357766D2" w:rsidRPr="00C92AF8">
        <w:rPr>
          <w:sz w:val="18"/>
          <w:szCs w:val="18"/>
        </w:rPr>
        <w:t xml:space="preserve">, </w:t>
      </w:r>
      <w:r w:rsidR="357766D2" w:rsidRPr="00C92AF8">
        <w:rPr>
          <w:i/>
          <w:iCs/>
          <w:sz w:val="18"/>
          <w:szCs w:val="18"/>
        </w:rPr>
        <w:t xml:space="preserve">UN </w:t>
      </w:r>
      <w:proofErr w:type="spellStart"/>
      <w:r w:rsidR="357766D2" w:rsidRPr="00C92AF8">
        <w:rPr>
          <w:i/>
          <w:iCs/>
          <w:sz w:val="18"/>
          <w:szCs w:val="18"/>
        </w:rPr>
        <w:t>Doc</w:t>
      </w:r>
      <w:proofErr w:type="spellEnd"/>
      <w:r w:rsidR="357766D2" w:rsidRPr="00C92AF8">
        <w:rPr>
          <w:i/>
          <w:iCs/>
          <w:sz w:val="18"/>
          <w:szCs w:val="18"/>
        </w:rPr>
        <w:t xml:space="preserve"> </w:t>
      </w:r>
      <w:r w:rsidR="357766D2" w:rsidRPr="00C92AF8">
        <w:rPr>
          <w:sz w:val="18"/>
          <w:szCs w:val="18"/>
        </w:rPr>
        <w:t xml:space="preserve">A/HRC/52/62, p. 6, te raadplegen via: </w:t>
      </w:r>
      <w:r w:rsidR="357766D2" w:rsidRPr="00E97424">
        <w:rPr>
          <w:sz w:val="18"/>
          <w:szCs w:val="18"/>
        </w:rPr>
        <w:t>﷟HYPERLINK "https://www.ohchr.org/sites/default/files/documents/hrbodies/hrcouncil/coiukraine/A_HRC_52_62_AUV_EN.pdf"</w:t>
      </w:r>
      <w:r w:rsidR="357766D2" w:rsidRPr="00C92AF8">
        <w:rPr>
          <w:rStyle w:val="Hyperlink"/>
          <w:sz w:val="18"/>
          <w:szCs w:val="18"/>
        </w:rPr>
        <w:t>https://www.ohchr.org/sites/default/files/documents/hrbodies/hrcouncil/coiukraine/A_HRC_52_62_AUV_EN.pdf</w:t>
      </w:r>
      <w:r w:rsidR="357766D2" w:rsidRPr="00C92AF8">
        <w:rPr>
          <w:sz w:val="18"/>
          <w:szCs w:val="18"/>
        </w:rPr>
        <w:t xml:space="preserve">. </w:t>
      </w:r>
    </w:p>
  </w:footnote>
  <w:footnote w:id="11">
    <w:p w14:paraId="11A3A3E0" w14:textId="50ECB782" w:rsidR="009A1172" w:rsidRPr="00E97424" w:rsidRDefault="009A1172" w:rsidP="00E97424">
      <w:pPr>
        <w:pStyle w:val="Voetnoottekst"/>
        <w:jc w:val="both"/>
        <w:rPr>
          <w:sz w:val="18"/>
          <w:szCs w:val="18"/>
        </w:rPr>
      </w:pPr>
      <w:r w:rsidRPr="00E97424">
        <w:rPr>
          <w:rStyle w:val="Voetnootmarkering"/>
          <w:sz w:val="18"/>
          <w:szCs w:val="18"/>
        </w:rPr>
        <w:footnoteRef/>
      </w:r>
      <w:r w:rsidR="0FBB861D" w:rsidRPr="00E97424">
        <w:rPr>
          <w:sz w:val="18"/>
          <w:szCs w:val="18"/>
        </w:rPr>
        <w:t xml:space="preserve"> </w:t>
      </w:r>
      <w:r w:rsidR="0FBB861D" w:rsidRPr="00C92AF8">
        <w:rPr>
          <w:sz w:val="18"/>
          <w:szCs w:val="18"/>
        </w:rPr>
        <w:t xml:space="preserve">Mensenrechtenraad van de Verenigde Naties (15 maart 2023), </w:t>
      </w:r>
      <w:r w:rsidR="0FBB861D" w:rsidRPr="00C92AF8">
        <w:rPr>
          <w:i/>
          <w:iCs/>
          <w:sz w:val="18"/>
          <w:szCs w:val="18"/>
        </w:rPr>
        <w:t xml:space="preserve">Report of </w:t>
      </w:r>
      <w:proofErr w:type="spellStart"/>
      <w:r w:rsidR="0FBB861D" w:rsidRPr="00C92AF8">
        <w:rPr>
          <w:i/>
          <w:iCs/>
          <w:sz w:val="18"/>
          <w:szCs w:val="18"/>
        </w:rPr>
        <w:t>the</w:t>
      </w:r>
      <w:proofErr w:type="spellEnd"/>
      <w:r w:rsidR="0FBB861D" w:rsidRPr="00C92AF8">
        <w:rPr>
          <w:i/>
          <w:iCs/>
          <w:sz w:val="18"/>
          <w:szCs w:val="18"/>
        </w:rPr>
        <w:t xml:space="preserve"> Independent International </w:t>
      </w:r>
      <w:proofErr w:type="spellStart"/>
      <w:r w:rsidR="0FBB861D" w:rsidRPr="00C92AF8">
        <w:rPr>
          <w:i/>
          <w:iCs/>
          <w:sz w:val="18"/>
          <w:szCs w:val="18"/>
        </w:rPr>
        <w:t>Commission</w:t>
      </w:r>
      <w:proofErr w:type="spellEnd"/>
      <w:r w:rsidR="0FBB861D" w:rsidRPr="00C92AF8">
        <w:rPr>
          <w:i/>
          <w:iCs/>
          <w:sz w:val="18"/>
          <w:szCs w:val="18"/>
        </w:rPr>
        <w:t xml:space="preserve"> of </w:t>
      </w:r>
      <w:proofErr w:type="spellStart"/>
      <w:r w:rsidR="0FBB861D" w:rsidRPr="00C92AF8">
        <w:rPr>
          <w:i/>
          <w:iCs/>
          <w:sz w:val="18"/>
          <w:szCs w:val="18"/>
        </w:rPr>
        <w:t>Inquiry</w:t>
      </w:r>
      <w:proofErr w:type="spellEnd"/>
      <w:r w:rsidR="0FBB861D" w:rsidRPr="00C92AF8">
        <w:rPr>
          <w:i/>
          <w:iCs/>
          <w:sz w:val="18"/>
          <w:szCs w:val="18"/>
        </w:rPr>
        <w:t xml:space="preserve"> on Ukraine</w:t>
      </w:r>
      <w:r w:rsidR="0FBB861D" w:rsidRPr="00C92AF8">
        <w:rPr>
          <w:sz w:val="18"/>
          <w:szCs w:val="18"/>
        </w:rPr>
        <w:t xml:space="preserve">, </w:t>
      </w:r>
      <w:r w:rsidR="0FBB861D" w:rsidRPr="00C92AF8">
        <w:rPr>
          <w:i/>
          <w:iCs/>
          <w:sz w:val="18"/>
          <w:szCs w:val="18"/>
        </w:rPr>
        <w:t xml:space="preserve">UN </w:t>
      </w:r>
      <w:proofErr w:type="spellStart"/>
      <w:r w:rsidR="0FBB861D" w:rsidRPr="00C92AF8">
        <w:rPr>
          <w:i/>
          <w:iCs/>
          <w:sz w:val="18"/>
          <w:szCs w:val="18"/>
        </w:rPr>
        <w:t>Doc</w:t>
      </w:r>
      <w:proofErr w:type="spellEnd"/>
      <w:r w:rsidR="0FBB861D" w:rsidRPr="00C92AF8">
        <w:rPr>
          <w:i/>
          <w:iCs/>
          <w:sz w:val="18"/>
          <w:szCs w:val="18"/>
        </w:rPr>
        <w:t xml:space="preserve"> </w:t>
      </w:r>
      <w:r w:rsidR="0FBB861D" w:rsidRPr="00C92AF8">
        <w:rPr>
          <w:sz w:val="18"/>
          <w:szCs w:val="18"/>
        </w:rPr>
        <w:t xml:space="preserve">A/HRC/52/62, p. 7, te raadplegen via: </w:t>
      </w:r>
      <w:hyperlink r:id="rId12">
        <w:r w:rsidR="0FBB861D" w:rsidRPr="00C92AF8">
          <w:rPr>
            <w:rStyle w:val="Hyperlink"/>
            <w:sz w:val="18"/>
            <w:szCs w:val="18"/>
          </w:rPr>
          <w:t>https://www.ohchr.org/sites/default/files/documents/hrbodies/hrcouncil/coiukraine/A_HRC_52_62_AUV_EN.pdf</w:t>
        </w:r>
      </w:hyperlink>
      <w:r w:rsidR="0FBB861D" w:rsidRPr="00C92AF8">
        <w:rPr>
          <w:sz w:val="18"/>
          <w:szCs w:val="18"/>
        </w:rPr>
        <w:t>.</w:t>
      </w:r>
    </w:p>
  </w:footnote>
  <w:footnote w:id="12">
    <w:p w14:paraId="0A6E7E76" w14:textId="2FD4ECC3" w:rsidR="004F4B11" w:rsidRPr="00E97424" w:rsidRDefault="004F4B11" w:rsidP="00E97424">
      <w:pPr>
        <w:pStyle w:val="Voetnoottekst"/>
        <w:jc w:val="both"/>
        <w:rPr>
          <w:sz w:val="18"/>
          <w:szCs w:val="18"/>
          <w:lang w:val="en-US"/>
        </w:rPr>
      </w:pPr>
      <w:r w:rsidRPr="00E97424">
        <w:rPr>
          <w:rStyle w:val="Voetnootmarkering"/>
          <w:sz w:val="18"/>
          <w:szCs w:val="18"/>
          <w:lang w:val="en-US"/>
        </w:rPr>
        <w:footnoteRef/>
      </w:r>
      <w:r w:rsidR="0FBB861D" w:rsidRPr="00E97424">
        <w:rPr>
          <w:sz w:val="18"/>
          <w:szCs w:val="18"/>
          <w:lang w:val="en-US"/>
        </w:rPr>
        <w:t xml:space="preserve"> </w:t>
      </w:r>
      <w:r w:rsidR="794E25B3" w:rsidRPr="00E97424">
        <w:rPr>
          <w:sz w:val="18"/>
          <w:szCs w:val="18"/>
          <w:lang w:val="en-US"/>
        </w:rPr>
        <w:t>‘Ukraine</w:t>
      </w:r>
      <w:r w:rsidR="0FBB861D" w:rsidRPr="00E97424">
        <w:rPr>
          <w:sz w:val="18"/>
          <w:szCs w:val="18"/>
          <w:lang w:val="en-US"/>
        </w:rPr>
        <w:t xml:space="preserve">: Civilian Deaths from Cluster Munitions </w:t>
      </w:r>
      <w:r w:rsidR="794E25B3" w:rsidRPr="00E97424">
        <w:rPr>
          <w:sz w:val="18"/>
          <w:szCs w:val="18"/>
          <w:lang w:val="en-US"/>
        </w:rPr>
        <w:t>– New</w:t>
      </w:r>
      <w:r w:rsidR="0FBB861D" w:rsidRPr="00E97424">
        <w:rPr>
          <w:sz w:val="18"/>
          <w:szCs w:val="18"/>
          <w:lang w:val="en-US"/>
        </w:rPr>
        <w:t xml:space="preserve"> Research Details Ukrainian Use of Widely Banned Weapon’, hrw.org, 6 </w:t>
      </w:r>
      <w:proofErr w:type="spellStart"/>
      <w:r w:rsidR="0FBB861D" w:rsidRPr="00E97424">
        <w:rPr>
          <w:sz w:val="18"/>
          <w:szCs w:val="18"/>
          <w:lang w:val="en-US"/>
        </w:rPr>
        <w:t>juli</w:t>
      </w:r>
      <w:proofErr w:type="spellEnd"/>
      <w:r w:rsidR="0FBB861D" w:rsidRPr="00E97424">
        <w:rPr>
          <w:sz w:val="18"/>
          <w:szCs w:val="18"/>
          <w:lang w:val="en-US"/>
        </w:rPr>
        <w:t xml:space="preserve"> 2023, </w:t>
      </w:r>
      <w:proofErr w:type="spellStart"/>
      <w:r w:rsidR="0FBB861D" w:rsidRPr="00E97424">
        <w:rPr>
          <w:sz w:val="18"/>
          <w:szCs w:val="18"/>
          <w:lang w:val="en-US"/>
        </w:rPr>
        <w:t>te</w:t>
      </w:r>
      <w:proofErr w:type="spellEnd"/>
      <w:r w:rsidR="0FBB861D" w:rsidRPr="00E97424">
        <w:rPr>
          <w:sz w:val="18"/>
          <w:szCs w:val="18"/>
          <w:lang w:val="en-US"/>
        </w:rPr>
        <w:t xml:space="preserve"> </w:t>
      </w:r>
      <w:proofErr w:type="spellStart"/>
      <w:r w:rsidR="0FBB861D" w:rsidRPr="00E97424">
        <w:rPr>
          <w:sz w:val="18"/>
          <w:szCs w:val="18"/>
          <w:lang w:val="en-US"/>
        </w:rPr>
        <w:t>raadplegen</w:t>
      </w:r>
      <w:proofErr w:type="spellEnd"/>
      <w:r w:rsidR="0FBB861D" w:rsidRPr="00E97424">
        <w:rPr>
          <w:sz w:val="18"/>
          <w:szCs w:val="18"/>
          <w:lang w:val="en-US"/>
        </w:rPr>
        <w:t xml:space="preserve"> via: </w:t>
      </w:r>
      <w:hyperlink r:id="rId13">
        <w:r w:rsidR="0FBB861D" w:rsidRPr="00E97424">
          <w:rPr>
            <w:rStyle w:val="Hyperlink"/>
            <w:sz w:val="18"/>
            <w:szCs w:val="18"/>
            <w:lang w:val="en-US"/>
          </w:rPr>
          <w:t>https://www.hrw.org/news/2023/07/06/ukraine-civilian-deaths-cluster-munitions</w:t>
        </w:r>
      </w:hyperlink>
      <w:r w:rsidR="0FBB861D" w:rsidRPr="00E97424">
        <w:rPr>
          <w:sz w:val="18"/>
          <w:szCs w:val="18"/>
          <w:lang w:val="en-US"/>
        </w:rPr>
        <w:t xml:space="preserve">. </w:t>
      </w:r>
    </w:p>
  </w:footnote>
  <w:footnote w:id="13">
    <w:p w14:paraId="6883A5B9" w14:textId="52B2D8A5" w:rsidR="00C65E1B" w:rsidRPr="00E97424" w:rsidRDefault="00C65E1B" w:rsidP="00E97424">
      <w:pPr>
        <w:pStyle w:val="Voetnoottekst"/>
        <w:jc w:val="both"/>
        <w:rPr>
          <w:sz w:val="18"/>
          <w:szCs w:val="18"/>
          <w:lang w:val="en-US"/>
        </w:rPr>
      </w:pPr>
      <w:r w:rsidRPr="00E97424">
        <w:rPr>
          <w:rStyle w:val="Voetnootmarkering"/>
          <w:sz w:val="18"/>
          <w:szCs w:val="18"/>
        </w:rPr>
        <w:footnoteRef/>
      </w:r>
      <w:r w:rsidR="794E25B3" w:rsidRPr="00E97424">
        <w:rPr>
          <w:sz w:val="18"/>
          <w:szCs w:val="18"/>
          <w:lang w:val="en-US"/>
        </w:rPr>
        <w:t xml:space="preserve"> ‘Ukraine: Civilian Deaths from Cluster Munitions – New Research Details Ukrainian Use of Widely Banned Weapon’, hrw.org, 6 </w:t>
      </w:r>
      <w:proofErr w:type="spellStart"/>
      <w:r w:rsidR="794E25B3" w:rsidRPr="00E97424">
        <w:rPr>
          <w:sz w:val="18"/>
          <w:szCs w:val="18"/>
          <w:lang w:val="en-US"/>
        </w:rPr>
        <w:t>juli</w:t>
      </w:r>
      <w:proofErr w:type="spellEnd"/>
      <w:r w:rsidR="794E25B3" w:rsidRPr="00E97424">
        <w:rPr>
          <w:sz w:val="18"/>
          <w:szCs w:val="18"/>
          <w:lang w:val="en-US"/>
        </w:rPr>
        <w:t xml:space="preserve"> 2023, </w:t>
      </w:r>
      <w:proofErr w:type="spellStart"/>
      <w:r w:rsidR="794E25B3" w:rsidRPr="00E97424">
        <w:rPr>
          <w:sz w:val="18"/>
          <w:szCs w:val="18"/>
          <w:lang w:val="en-US"/>
        </w:rPr>
        <w:t>te</w:t>
      </w:r>
      <w:proofErr w:type="spellEnd"/>
      <w:r w:rsidR="794E25B3" w:rsidRPr="00E97424">
        <w:rPr>
          <w:sz w:val="18"/>
          <w:szCs w:val="18"/>
          <w:lang w:val="en-US"/>
        </w:rPr>
        <w:t xml:space="preserve"> </w:t>
      </w:r>
      <w:proofErr w:type="spellStart"/>
      <w:r w:rsidR="794E25B3" w:rsidRPr="00E97424">
        <w:rPr>
          <w:sz w:val="18"/>
          <w:szCs w:val="18"/>
          <w:lang w:val="en-US"/>
        </w:rPr>
        <w:t>raadplegen</w:t>
      </w:r>
      <w:proofErr w:type="spellEnd"/>
      <w:r w:rsidR="794E25B3" w:rsidRPr="00E97424">
        <w:rPr>
          <w:sz w:val="18"/>
          <w:szCs w:val="18"/>
          <w:lang w:val="en-US"/>
        </w:rPr>
        <w:t xml:space="preserve"> via: </w:t>
      </w:r>
      <w:hyperlink r:id="rId14">
        <w:r w:rsidR="794E25B3" w:rsidRPr="00E97424">
          <w:rPr>
            <w:rStyle w:val="Hyperlink"/>
            <w:sz w:val="18"/>
            <w:szCs w:val="18"/>
            <w:lang w:val="en-US"/>
          </w:rPr>
          <w:t>https://www.hrw.org/news/2023/07/06/ukraine-civilian-deaths-cluster-munitions</w:t>
        </w:r>
      </w:hyperlink>
      <w:r w:rsidR="794E25B3" w:rsidRPr="00E97424">
        <w:rPr>
          <w:sz w:val="18"/>
          <w:szCs w:val="18"/>
          <w:lang w:val="en-US"/>
        </w:rPr>
        <w:t xml:space="preserve">. </w:t>
      </w:r>
    </w:p>
  </w:footnote>
  <w:footnote w:id="14">
    <w:p w14:paraId="7C8744F4" w14:textId="401DA94E" w:rsidR="00950E1C" w:rsidRPr="00C92AF8" w:rsidRDefault="00950E1C" w:rsidP="00E97424">
      <w:pPr>
        <w:pStyle w:val="Voetnoottekst"/>
        <w:jc w:val="both"/>
        <w:rPr>
          <w:rFonts w:eastAsiaTheme="majorEastAsia"/>
          <w:sz w:val="18"/>
          <w:szCs w:val="18"/>
          <w:lang w:val="en-US"/>
        </w:rPr>
      </w:pPr>
      <w:r w:rsidRPr="00E97424">
        <w:rPr>
          <w:rStyle w:val="Voetnootmarkering"/>
          <w:sz w:val="18"/>
          <w:szCs w:val="18"/>
        </w:rPr>
        <w:footnoteRef/>
      </w:r>
      <w:r w:rsidR="794E25B3" w:rsidRPr="00C92AF8">
        <w:rPr>
          <w:rFonts w:eastAsiaTheme="majorEastAsia"/>
          <w:sz w:val="18"/>
          <w:szCs w:val="18"/>
          <w:lang w:val="en-US"/>
        </w:rPr>
        <w:t xml:space="preserve"> </w:t>
      </w:r>
      <w:r w:rsidR="794E25B3" w:rsidRPr="00E97424">
        <w:rPr>
          <w:sz w:val="18"/>
          <w:szCs w:val="18"/>
          <w:lang w:val="en-US"/>
        </w:rPr>
        <w:t>‘Ukraine</w:t>
      </w:r>
      <w:r w:rsidR="794E25B3" w:rsidRPr="00C92AF8">
        <w:rPr>
          <w:rFonts w:eastAsiaTheme="majorEastAsia"/>
          <w:sz w:val="18"/>
          <w:szCs w:val="18"/>
          <w:lang w:val="en-US"/>
        </w:rPr>
        <w:t xml:space="preserve">: Widespread Use of Cluster Munitions - Government Responsible for Cluster Attacks on Donetsk’, hrw.org, 20 </w:t>
      </w:r>
      <w:proofErr w:type="spellStart"/>
      <w:r w:rsidR="794E25B3" w:rsidRPr="00C92AF8">
        <w:rPr>
          <w:rFonts w:eastAsiaTheme="majorEastAsia"/>
          <w:sz w:val="18"/>
          <w:szCs w:val="18"/>
          <w:lang w:val="en-US"/>
        </w:rPr>
        <w:t>oktober</w:t>
      </w:r>
      <w:proofErr w:type="spellEnd"/>
      <w:r w:rsidR="794E25B3" w:rsidRPr="00C92AF8">
        <w:rPr>
          <w:rFonts w:eastAsiaTheme="majorEastAsia"/>
          <w:sz w:val="18"/>
          <w:szCs w:val="18"/>
          <w:lang w:val="en-US"/>
        </w:rPr>
        <w:t xml:space="preserve"> 2014, </w:t>
      </w:r>
      <w:proofErr w:type="spellStart"/>
      <w:r w:rsidR="794E25B3" w:rsidRPr="00C92AF8">
        <w:rPr>
          <w:rFonts w:eastAsiaTheme="majorEastAsia"/>
          <w:sz w:val="18"/>
          <w:szCs w:val="18"/>
          <w:lang w:val="en-US"/>
        </w:rPr>
        <w:t>te</w:t>
      </w:r>
      <w:proofErr w:type="spellEnd"/>
      <w:r w:rsidR="794E25B3" w:rsidRPr="00C92AF8">
        <w:rPr>
          <w:rFonts w:eastAsiaTheme="majorEastAsia"/>
          <w:sz w:val="18"/>
          <w:szCs w:val="18"/>
          <w:lang w:val="en-US"/>
        </w:rPr>
        <w:t xml:space="preserve"> </w:t>
      </w:r>
      <w:proofErr w:type="spellStart"/>
      <w:r w:rsidR="794E25B3" w:rsidRPr="00C92AF8">
        <w:rPr>
          <w:rFonts w:eastAsiaTheme="majorEastAsia"/>
          <w:sz w:val="18"/>
          <w:szCs w:val="18"/>
          <w:lang w:val="en-US"/>
        </w:rPr>
        <w:t>raadplegen</w:t>
      </w:r>
      <w:proofErr w:type="spellEnd"/>
      <w:r w:rsidR="794E25B3" w:rsidRPr="00C92AF8">
        <w:rPr>
          <w:rFonts w:eastAsiaTheme="majorEastAsia"/>
          <w:sz w:val="18"/>
          <w:szCs w:val="18"/>
          <w:lang w:val="en-US"/>
        </w:rPr>
        <w:t xml:space="preserve"> via: </w:t>
      </w:r>
      <w:hyperlink r:id="rId15">
        <w:r w:rsidR="794E25B3" w:rsidRPr="00C92AF8">
          <w:rPr>
            <w:rStyle w:val="Hyperlink"/>
            <w:rFonts w:eastAsiaTheme="majorEastAsia"/>
            <w:sz w:val="18"/>
            <w:szCs w:val="18"/>
            <w:lang w:val="en-US"/>
          </w:rPr>
          <w:t>https://www.hrw.org/news/2014/10/20/ukraine-widespread-use-cluster-munitions</w:t>
        </w:r>
      </w:hyperlink>
      <w:r w:rsidR="794E25B3" w:rsidRPr="00C92AF8">
        <w:rPr>
          <w:rFonts w:eastAsiaTheme="majorEastAsia"/>
          <w:sz w:val="18"/>
          <w:szCs w:val="18"/>
          <w:lang w:val="en-US"/>
        </w:rPr>
        <w:t xml:space="preserve">. </w:t>
      </w:r>
    </w:p>
  </w:footnote>
  <w:footnote w:id="15">
    <w:p w14:paraId="39887EBE" w14:textId="13818473" w:rsidR="00741B0A" w:rsidRPr="00E97424" w:rsidRDefault="00741B0A" w:rsidP="00E97424">
      <w:pPr>
        <w:pStyle w:val="Voetnoottekst"/>
        <w:jc w:val="both"/>
        <w:rPr>
          <w:sz w:val="18"/>
          <w:szCs w:val="18"/>
          <w:lang w:val="en-US"/>
        </w:rPr>
      </w:pPr>
      <w:r w:rsidRPr="00E97424">
        <w:rPr>
          <w:rStyle w:val="Voetnootmarkering"/>
          <w:sz w:val="18"/>
          <w:szCs w:val="18"/>
          <w:lang w:val="en-US"/>
        </w:rPr>
        <w:footnoteRef/>
      </w:r>
      <w:r w:rsidR="794E25B3" w:rsidRPr="00E97424">
        <w:rPr>
          <w:sz w:val="18"/>
          <w:szCs w:val="18"/>
          <w:lang w:val="en-US"/>
        </w:rPr>
        <w:t xml:space="preserve"> ‘Ukraine: More Civilians Killed in Cluster Munition Attacks - Both Sides Have Used Widely Banned Weapon’, hrw.org, 19 </w:t>
      </w:r>
      <w:proofErr w:type="spellStart"/>
      <w:r w:rsidR="794E25B3" w:rsidRPr="00E97424">
        <w:rPr>
          <w:sz w:val="18"/>
          <w:szCs w:val="18"/>
          <w:lang w:val="en-US"/>
        </w:rPr>
        <w:t>maart</w:t>
      </w:r>
      <w:proofErr w:type="spellEnd"/>
      <w:r w:rsidR="794E25B3" w:rsidRPr="00E97424">
        <w:rPr>
          <w:sz w:val="18"/>
          <w:szCs w:val="18"/>
          <w:lang w:val="en-US"/>
        </w:rPr>
        <w:t xml:space="preserve"> 2015, </w:t>
      </w:r>
      <w:proofErr w:type="spellStart"/>
      <w:r w:rsidR="794E25B3" w:rsidRPr="00E97424">
        <w:rPr>
          <w:sz w:val="18"/>
          <w:szCs w:val="18"/>
          <w:lang w:val="en-US"/>
        </w:rPr>
        <w:t>te</w:t>
      </w:r>
      <w:proofErr w:type="spellEnd"/>
      <w:r w:rsidR="794E25B3" w:rsidRPr="00E97424">
        <w:rPr>
          <w:sz w:val="18"/>
          <w:szCs w:val="18"/>
          <w:lang w:val="en-US"/>
        </w:rPr>
        <w:t xml:space="preserve"> </w:t>
      </w:r>
      <w:proofErr w:type="spellStart"/>
      <w:r w:rsidR="794E25B3" w:rsidRPr="00E97424">
        <w:rPr>
          <w:sz w:val="18"/>
          <w:szCs w:val="18"/>
          <w:lang w:val="en-US"/>
        </w:rPr>
        <w:t>raadplegen</w:t>
      </w:r>
      <w:proofErr w:type="spellEnd"/>
      <w:r w:rsidR="794E25B3" w:rsidRPr="00E97424">
        <w:rPr>
          <w:sz w:val="18"/>
          <w:szCs w:val="18"/>
          <w:lang w:val="en-US"/>
        </w:rPr>
        <w:t xml:space="preserve"> via: </w:t>
      </w:r>
      <w:hyperlink r:id="rId16">
        <w:r w:rsidR="794E25B3" w:rsidRPr="00E97424">
          <w:rPr>
            <w:rStyle w:val="Hyperlink"/>
            <w:sz w:val="18"/>
            <w:szCs w:val="18"/>
            <w:lang w:val="en-US"/>
          </w:rPr>
          <w:t>https://www.hrw.org/news/2015/03/19/ukraine-more-civilians-killed-cluster-munition-attacks</w:t>
        </w:r>
      </w:hyperlink>
      <w:r w:rsidR="794E25B3" w:rsidRPr="00E97424">
        <w:rPr>
          <w:sz w:val="18"/>
          <w:szCs w:val="18"/>
          <w:lang w:val="en-US"/>
        </w:rPr>
        <w:t xml:space="preserve">. </w:t>
      </w:r>
    </w:p>
  </w:footnote>
  <w:footnote w:id="16">
    <w:p w14:paraId="38502764" w14:textId="0AACBDEA" w:rsidR="0001581F" w:rsidRPr="00E97424" w:rsidRDefault="0001581F" w:rsidP="00E97424">
      <w:pPr>
        <w:pStyle w:val="Voetnoottekst"/>
        <w:jc w:val="both"/>
        <w:rPr>
          <w:sz w:val="18"/>
          <w:szCs w:val="18"/>
          <w:lang w:val="en-US"/>
        </w:rPr>
      </w:pPr>
      <w:r w:rsidRPr="00E97424">
        <w:rPr>
          <w:rStyle w:val="Voetnootmarkering"/>
          <w:sz w:val="18"/>
          <w:szCs w:val="18"/>
        </w:rPr>
        <w:footnoteRef/>
      </w:r>
      <w:r w:rsidR="794E25B3" w:rsidRPr="00E97424">
        <w:rPr>
          <w:sz w:val="18"/>
          <w:szCs w:val="18"/>
          <w:lang w:val="en-US"/>
        </w:rPr>
        <w:t xml:space="preserve"> ‘Ukraine: Civilian Deaths from Cluster Munitions – New Research Details Ukrainian Use of Widely Banned Weapon’, hrw.org, 6 </w:t>
      </w:r>
      <w:proofErr w:type="spellStart"/>
      <w:r w:rsidR="794E25B3" w:rsidRPr="00E97424">
        <w:rPr>
          <w:sz w:val="18"/>
          <w:szCs w:val="18"/>
          <w:lang w:val="en-US"/>
        </w:rPr>
        <w:t>juli</w:t>
      </w:r>
      <w:proofErr w:type="spellEnd"/>
      <w:r w:rsidR="794E25B3" w:rsidRPr="00E97424">
        <w:rPr>
          <w:sz w:val="18"/>
          <w:szCs w:val="18"/>
          <w:lang w:val="en-US"/>
        </w:rPr>
        <w:t xml:space="preserve"> 2023, </w:t>
      </w:r>
      <w:proofErr w:type="spellStart"/>
      <w:r w:rsidR="794E25B3" w:rsidRPr="00E97424">
        <w:rPr>
          <w:sz w:val="18"/>
          <w:szCs w:val="18"/>
          <w:lang w:val="en-US"/>
        </w:rPr>
        <w:t>te</w:t>
      </w:r>
      <w:proofErr w:type="spellEnd"/>
      <w:r w:rsidR="794E25B3" w:rsidRPr="00E97424">
        <w:rPr>
          <w:sz w:val="18"/>
          <w:szCs w:val="18"/>
          <w:lang w:val="en-US"/>
        </w:rPr>
        <w:t xml:space="preserve"> </w:t>
      </w:r>
      <w:proofErr w:type="spellStart"/>
      <w:r w:rsidR="794E25B3" w:rsidRPr="00E97424">
        <w:rPr>
          <w:sz w:val="18"/>
          <w:szCs w:val="18"/>
          <w:lang w:val="en-US"/>
        </w:rPr>
        <w:t>raadplegen</w:t>
      </w:r>
      <w:proofErr w:type="spellEnd"/>
      <w:r w:rsidR="794E25B3" w:rsidRPr="00E97424">
        <w:rPr>
          <w:sz w:val="18"/>
          <w:szCs w:val="18"/>
          <w:lang w:val="en-US"/>
        </w:rPr>
        <w:t xml:space="preserve"> via: </w:t>
      </w:r>
      <w:hyperlink r:id="rId17">
        <w:r w:rsidR="794E25B3" w:rsidRPr="00E97424">
          <w:rPr>
            <w:rStyle w:val="Hyperlink"/>
            <w:sz w:val="18"/>
            <w:szCs w:val="18"/>
            <w:lang w:val="en-US"/>
          </w:rPr>
          <w:t>https://www.hrw.org/news/2023/07/06/ukraine-civilian-deaths-cluster-munitions</w:t>
        </w:r>
      </w:hyperlink>
      <w:r w:rsidR="794E25B3" w:rsidRPr="00E97424">
        <w:rPr>
          <w:sz w:val="18"/>
          <w:szCs w:val="18"/>
          <w:lang w:val="en-US"/>
        </w:rPr>
        <w:t>.</w:t>
      </w:r>
    </w:p>
  </w:footnote>
  <w:footnote w:id="17">
    <w:p w14:paraId="00593B6B" w14:textId="343CED1A" w:rsidR="00E241DF" w:rsidRPr="00E97424" w:rsidRDefault="00E241DF" w:rsidP="00E97424">
      <w:pPr>
        <w:pStyle w:val="Voetnoottekst"/>
        <w:jc w:val="both"/>
        <w:rPr>
          <w:sz w:val="18"/>
          <w:szCs w:val="18"/>
        </w:rPr>
      </w:pPr>
      <w:r w:rsidRPr="00E97424">
        <w:rPr>
          <w:rStyle w:val="Voetnootmarkering"/>
          <w:sz w:val="18"/>
          <w:szCs w:val="18"/>
        </w:rPr>
        <w:footnoteRef/>
      </w:r>
      <w:r w:rsidRPr="00E97424">
        <w:rPr>
          <w:sz w:val="18"/>
          <w:szCs w:val="18"/>
        </w:rPr>
        <w:t xml:space="preserve"> Nederland nam in 2008 het besluit om geen F-16’s meer te gebruiken voor het afwerpen van  clustermunitie. Zie</w:t>
      </w:r>
      <w:r w:rsidR="00B525B6" w:rsidRPr="00E97424">
        <w:rPr>
          <w:sz w:val="18"/>
          <w:szCs w:val="18"/>
        </w:rPr>
        <w:t xml:space="preserve"> </w:t>
      </w:r>
      <w:hyperlink r:id="rId18" w:history="1">
        <w:r w:rsidR="00B525B6" w:rsidRPr="00E97424">
          <w:rPr>
            <w:rStyle w:val="Hyperlink"/>
            <w:sz w:val="18"/>
            <w:szCs w:val="18"/>
          </w:rPr>
          <w:t>https://www.trouw.nl/nieuws/defensie-vernietigt-clusterbommen-van-f-16-s~b5217225/</w:t>
        </w:r>
      </w:hyperlink>
      <w:r w:rsidR="794E25B3" w:rsidRPr="00E97424">
        <w:rPr>
          <w:sz w:val="18"/>
          <w:szCs w:val="18"/>
        </w:rPr>
        <w:t>.</w:t>
      </w:r>
      <w:r w:rsidR="00B525B6" w:rsidRPr="00E97424">
        <w:rPr>
          <w:sz w:val="18"/>
          <w:szCs w:val="18"/>
        </w:rPr>
        <w:t xml:space="preserve"> </w:t>
      </w:r>
      <w:r w:rsidRPr="00E97424">
        <w:rPr>
          <w:sz w:val="18"/>
          <w:szCs w:val="18"/>
        </w:rPr>
        <w:t xml:space="preserve">Ook nu melden media dat F-16’s gebruikt kunnen worden voor clustermunitie: </w:t>
      </w:r>
      <w:hyperlink r:id="rId19" w:history="1">
        <w:r w:rsidRPr="00E97424">
          <w:rPr>
            <w:rStyle w:val="Hyperlink"/>
            <w:sz w:val="18"/>
            <w:szCs w:val="18"/>
          </w:rPr>
          <w:t>https://www.economist.com/europe/2024/08/04/how-much-of-a-difference-will-ukraines-new-f-16s-make</w:t>
        </w:r>
      </w:hyperlink>
      <w:r w:rsidR="794E25B3" w:rsidRPr="00E97424">
        <w:rPr>
          <w:sz w:val="18"/>
          <w:szCs w:val="18"/>
        </w:rPr>
        <w:t>.</w:t>
      </w:r>
    </w:p>
  </w:footnote>
  <w:footnote w:id="18">
    <w:p w14:paraId="741EB4E3" w14:textId="137B881D" w:rsidR="00CF6D66" w:rsidRPr="00C92AF8" w:rsidRDefault="00CF6D66" w:rsidP="00E97424">
      <w:pPr>
        <w:pStyle w:val="Voetnoottekst"/>
        <w:jc w:val="both"/>
        <w:rPr>
          <w:sz w:val="18"/>
          <w:szCs w:val="18"/>
        </w:rPr>
      </w:pPr>
      <w:r w:rsidRPr="00E97424">
        <w:rPr>
          <w:rStyle w:val="Voetnootmarkering"/>
          <w:sz w:val="18"/>
          <w:szCs w:val="18"/>
        </w:rPr>
        <w:footnoteRef/>
      </w:r>
      <w:r w:rsidR="794E25B3" w:rsidRPr="00C92AF8">
        <w:rPr>
          <w:sz w:val="18"/>
          <w:szCs w:val="18"/>
        </w:rPr>
        <w:t xml:space="preserve"> ‘F-16 </w:t>
      </w:r>
      <w:proofErr w:type="spellStart"/>
      <w:r w:rsidR="794E25B3" w:rsidRPr="00C92AF8">
        <w:rPr>
          <w:sz w:val="18"/>
          <w:szCs w:val="18"/>
        </w:rPr>
        <w:t>Fighting</w:t>
      </w:r>
      <w:proofErr w:type="spellEnd"/>
      <w:r w:rsidR="794E25B3" w:rsidRPr="00C92AF8">
        <w:rPr>
          <w:sz w:val="18"/>
          <w:szCs w:val="18"/>
        </w:rPr>
        <w:t xml:space="preserve"> </w:t>
      </w:r>
      <w:proofErr w:type="spellStart"/>
      <w:r w:rsidR="794E25B3" w:rsidRPr="00C92AF8">
        <w:rPr>
          <w:sz w:val="18"/>
          <w:szCs w:val="18"/>
        </w:rPr>
        <w:t>Falcon</w:t>
      </w:r>
      <w:proofErr w:type="spellEnd"/>
      <w:r w:rsidR="794E25B3" w:rsidRPr="00C92AF8">
        <w:rPr>
          <w:sz w:val="18"/>
          <w:szCs w:val="18"/>
        </w:rPr>
        <w:t xml:space="preserve"> </w:t>
      </w:r>
      <w:proofErr w:type="spellStart"/>
      <w:r w:rsidR="794E25B3" w:rsidRPr="00C92AF8">
        <w:rPr>
          <w:sz w:val="18"/>
          <w:szCs w:val="18"/>
        </w:rPr>
        <w:t>Multirole</w:t>
      </w:r>
      <w:proofErr w:type="spellEnd"/>
      <w:r w:rsidR="794E25B3" w:rsidRPr="00C92AF8">
        <w:rPr>
          <w:sz w:val="18"/>
          <w:szCs w:val="18"/>
        </w:rPr>
        <w:t xml:space="preserve"> Fighter’, airforce-technology.com, 13 oktober 2021, te raadplegen via: </w:t>
      </w:r>
      <w:r w:rsidR="794E25B3" w:rsidRPr="00E97424">
        <w:rPr>
          <w:sz w:val="18"/>
          <w:szCs w:val="18"/>
          <w:lang w:val="en-US"/>
        </w:rPr>
        <w:t>﷟</w:t>
      </w:r>
      <w:r w:rsidR="794E25B3" w:rsidRPr="00C92AF8">
        <w:rPr>
          <w:sz w:val="18"/>
          <w:szCs w:val="18"/>
        </w:rPr>
        <w:t>HYPERLINK "https://www.airforce-technology.com/projects/f-16-fighting-falcon-multirole-fighter/?cf-view"</w:t>
      </w:r>
      <w:r w:rsidR="794E25B3" w:rsidRPr="00C92AF8">
        <w:rPr>
          <w:rStyle w:val="Hyperlink"/>
          <w:rFonts w:eastAsiaTheme="majorEastAsia"/>
          <w:sz w:val="18"/>
          <w:szCs w:val="18"/>
        </w:rPr>
        <w:t>https://www.airforce-technology.com/projects/f-16-fighting-falcon-multirole-fighter/?cf-view</w:t>
      </w:r>
      <w:r w:rsidR="794E25B3" w:rsidRPr="00C92AF8">
        <w:rPr>
          <w:sz w:val="18"/>
          <w:szCs w:val="18"/>
        </w:rPr>
        <w:t>.</w:t>
      </w:r>
    </w:p>
  </w:footnote>
  <w:footnote w:id="19">
    <w:p w14:paraId="2F7AD2F0" w14:textId="2BA42D41" w:rsidR="005B6379" w:rsidRPr="00E97424" w:rsidRDefault="005B6379"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Brief van de minister van Buitenlandse Zaken, Aan de Voorzitter van de Eerste Kamer der Staten-Generaal, Den Haag, 14 november 2024 (</w:t>
      </w:r>
      <w:r w:rsidR="794E25B3" w:rsidRPr="00E97424">
        <w:rPr>
          <w:i/>
          <w:iCs/>
          <w:sz w:val="18"/>
          <w:szCs w:val="18"/>
        </w:rPr>
        <w:t>Kamerstukken I</w:t>
      </w:r>
      <w:r w:rsidR="794E25B3" w:rsidRPr="00E97424">
        <w:rPr>
          <w:sz w:val="18"/>
          <w:szCs w:val="18"/>
        </w:rPr>
        <w:t xml:space="preserve"> 2024/25, 36 410 V, L), p. 6, te raadplegen via: </w:t>
      </w:r>
      <w:hyperlink r:id="rId20">
        <w:r w:rsidR="794E25B3" w:rsidRPr="00E97424">
          <w:rPr>
            <w:rStyle w:val="Hyperlink"/>
            <w:sz w:val="18"/>
            <w:szCs w:val="18"/>
          </w:rPr>
          <w:t>https://zoek.officielebekendmakingen.nl/kst-36410-V-L.pdf</w:t>
        </w:r>
      </w:hyperlink>
      <w:r w:rsidR="794E25B3" w:rsidRPr="00E97424">
        <w:rPr>
          <w:sz w:val="18"/>
          <w:szCs w:val="18"/>
        </w:rPr>
        <w:t>.</w:t>
      </w:r>
    </w:p>
  </w:footnote>
  <w:footnote w:id="20">
    <w:p w14:paraId="37DE6EE8" w14:textId="635C1849" w:rsidR="00C80335" w:rsidRPr="00E97424" w:rsidRDefault="00C80335"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Brief van de minister van Buitenlandse Zaken, Aan de Voorzitter van de Eerste Kamer der Staten-Generaal, Den Haag, 14 november 2024 (</w:t>
      </w:r>
      <w:r w:rsidR="794E25B3" w:rsidRPr="00E97424">
        <w:rPr>
          <w:i/>
          <w:iCs/>
          <w:sz w:val="18"/>
          <w:szCs w:val="18"/>
        </w:rPr>
        <w:t>Kamerstukken I</w:t>
      </w:r>
      <w:r w:rsidR="794E25B3" w:rsidRPr="00E97424">
        <w:rPr>
          <w:sz w:val="18"/>
          <w:szCs w:val="18"/>
        </w:rPr>
        <w:t xml:space="preserve"> 2024/25, 36 410 V, L), p. 7, te raadplegen via: </w:t>
      </w:r>
      <w:r w:rsidRPr="00E97424">
        <w:rPr>
          <w:sz w:val="18"/>
          <w:szCs w:val="18"/>
        </w:rPr>
        <w:t xml:space="preserve">, p. 7. </w:t>
      </w:r>
      <w:r w:rsidR="794E25B3" w:rsidRPr="00E97424">
        <w:rPr>
          <w:rStyle w:val="Hyperlink"/>
          <w:sz w:val="18"/>
          <w:szCs w:val="18"/>
        </w:rPr>
        <w:t>https://zoek.officielebekendmakingen.nl/kst-36410-V-L.pdf</w:t>
      </w:r>
      <w:r w:rsidR="794E25B3" w:rsidRPr="00E97424">
        <w:rPr>
          <w:sz w:val="18"/>
          <w:szCs w:val="18"/>
        </w:rPr>
        <w:t xml:space="preserve">. </w:t>
      </w:r>
    </w:p>
  </w:footnote>
  <w:footnote w:id="21">
    <w:p w14:paraId="6AC84F7E" w14:textId="75BE3D4C" w:rsidR="00B956A7" w:rsidRPr="00E97424" w:rsidRDefault="00B956A7"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Verslag Raad Buitenlandse Zaken 24 juni 2024 (</w:t>
      </w:r>
      <w:r w:rsidR="794E25B3" w:rsidRPr="00E97424">
        <w:rPr>
          <w:i/>
          <w:iCs/>
          <w:sz w:val="18"/>
          <w:szCs w:val="18"/>
        </w:rPr>
        <w:t xml:space="preserve">Kamerstukken I </w:t>
      </w:r>
      <w:r w:rsidR="794E25B3" w:rsidRPr="00E97424">
        <w:rPr>
          <w:sz w:val="18"/>
          <w:szCs w:val="18"/>
        </w:rPr>
        <w:t xml:space="preserve">2024/25, </w:t>
      </w:r>
      <w:r w:rsidRPr="00E97424">
        <w:rPr>
          <w:sz w:val="18"/>
          <w:szCs w:val="18"/>
        </w:rPr>
        <w:t xml:space="preserve"> </w:t>
      </w:r>
      <w:hyperlink r:id="rId21">
        <w:r w:rsidR="794E25B3" w:rsidRPr="00E97424">
          <w:rPr>
            <w:rStyle w:val="Hyperlink"/>
            <w:sz w:val="18"/>
            <w:szCs w:val="18"/>
          </w:rPr>
          <w:t>https://zoek.officielebekendmakingen.nl/kst-21501-02-GM.html</w:t>
        </w:r>
      </w:hyperlink>
      <w:r w:rsidR="794E25B3" w:rsidRPr="00E97424">
        <w:rPr>
          <w:sz w:val="18"/>
          <w:szCs w:val="18"/>
        </w:rPr>
        <w:t>.</w:t>
      </w:r>
    </w:p>
  </w:footnote>
  <w:footnote w:id="22">
    <w:p w14:paraId="1698109E" w14:textId="453E2524" w:rsidR="6208C269" w:rsidRPr="00E97424" w:rsidRDefault="6208C269" w:rsidP="00E97424">
      <w:pPr>
        <w:pStyle w:val="Voetnoottekst"/>
        <w:jc w:val="both"/>
        <w:rPr>
          <w:sz w:val="18"/>
          <w:szCs w:val="18"/>
        </w:rPr>
      </w:pPr>
      <w:r w:rsidRPr="00E97424">
        <w:rPr>
          <w:rStyle w:val="Voetnootmarkering"/>
          <w:sz w:val="18"/>
          <w:szCs w:val="18"/>
        </w:rPr>
        <w:footnoteRef/>
      </w:r>
      <w:r w:rsidRPr="00E97424">
        <w:rPr>
          <w:sz w:val="18"/>
          <w:szCs w:val="18"/>
        </w:rPr>
        <w:t xml:space="preserve"> Art. 1 lid 1 Verdrag inzake clustermunitie 2008, te raadplegen via: </w:t>
      </w:r>
      <w:hyperlink r:id="rId22" w:anchor="Verdrag_2">
        <w:r w:rsidRPr="00E97424">
          <w:rPr>
            <w:rStyle w:val="Hyperlink"/>
            <w:sz w:val="18"/>
            <w:szCs w:val="18"/>
          </w:rPr>
          <w:t>https://wetten.overheid.nl/BWBV0003143/2011-08-01#Verdrag_2</w:t>
        </w:r>
      </w:hyperlink>
      <w:r w:rsidRPr="00E97424">
        <w:rPr>
          <w:sz w:val="18"/>
          <w:szCs w:val="18"/>
        </w:rPr>
        <w:t xml:space="preserve">. </w:t>
      </w:r>
    </w:p>
  </w:footnote>
  <w:footnote w:id="23">
    <w:p w14:paraId="3E035526" w14:textId="1C5E3150" w:rsidR="0D6F2373" w:rsidRPr="00E97424" w:rsidRDefault="0D6F2373" w:rsidP="00E97424">
      <w:pPr>
        <w:pStyle w:val="Voetnoottekst"/>
        <w:jc w:val="both"/>
        <w:rPr>
          <w:sz w:val="18"/>
          <w:szCs w:val="18"/>
        </w:rPr>
      </w:pPr>
      <w:r w:rsidRPr="00E97424">
        <w:rPr>
          <w:rStyle w:val="Voetnootmarkering"/>
          <w:sz w:val="18"/>
          <w:szCs w:val="18"/>
        </w:rPr>
        <w:footnoteRef/>
      </w:r>
      <w:r w:rsidRPr="00E97424">
        <w:rPr>
          <w:sz w:val="18"/>
          <w:szCs w:val="18"/>
        </w:rPr>
        <w:t xml:space="preserve"> ‘Verdragen tegen conventionele wapens', rijksoverheid.nl, te raadplegen via: </w:t>
      </w:r>
      <w:hyperlink r:id="rId23" w:anchor=":~:text=Het%20Verdrag%20inzake%20Clustermunitie%20(CCM,veel%20menselijk%20leed%20kan%20veroorzaken">
        <w:r w:rsidRPr="00E97424">
          <w:rPr>
            <w:rStyle w:val="Hyperlink"/>
            <w:sz w:val="18"/>
            <w:szCs w:val="18"/>
          </w:rPr>
          <w:t>https://www.rijksoverheid.nl/onderwerpen/internationale-vrede-en-veiligheid/internationaal-beleid-wapenbeheersing/verdragen-tegen-conventionele-wapens#:~:text=Het%20Verdrag%20inzake%20Clustermunitie%20(CCM,veel%20menselijk%20leed%20kan%20veroorzaken</w:t>
        </w:r>
      </w:hyperlink>
      <w:r w:rsidRPr="00E97424">
        <w:rPr>
          <w:sz w:val="18"/>
          <w:szCs w:val="18"/>
        </w:rPr>
        <w:t>.</w:t>
      </w:r>
    </w:p>
  </w:footnote>
  <w:footnote w:id="24">
    <w:p w14:paraId="17062C70" w14:textId="7751000B" w:rsidR="32442647" w:rsidRPr="00E97424" w:rsidRDefault="32442647"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Art. 2 lid 1 Verdrag inzake clustermunitie 2008, te raadplegen via: </w:t>
      </w:r>
      <w:hyperlink r:id="rId24" w:anchor="Verdrag_2">
        <w:r w:rsidR="794E25B3" w:rsidRPr="00E97424">
          <w:rPr>
            <w:rStyle w:val="Hyperlink"/>
            <w:sz w:val="18"/>
            <w:szCs w:val="18"/>
          </w:rPr>
          <w:t>https://wetten.overheid.nl/BWBV0003143/2011-08-01#Verdrag_2</w:t>
        </w:r>
      </w:hyperlink>
      <w:r w:rsidR="794E25B3" w:rsidRPr="00E97424">
        <w:rPr>
          <w:sz w:val="18"/>
          <w:szCs w:val="18"/>
        </w:rPr>
        <w:t>.</w:t>
      </w:r>
    </w:p>
  </w:footnote>
  <w:footnote w:id="25">
    <w:p w14:paraId="068503ED" w14:textId="6AAB5F91" w:rsidR="000E0BC0" w:rsidRPr="00E97424" w:rsidRDefault="000E0BC0"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C. </w:t>
      </w:r>
      <w:proofErr w:type="spellStart"/>
      <w:r w:rsidRPr="00E97424">
        <w:rPr>
          <w:sz w:val="18"/>
          <w:szCs w:val="18"/>
          <w:lang w:val="en-US"/>
        </w:rPr>
        <w:t>Koningisor</w:t>
      </w:r>
      <w:proofErr w:type="spellEnd"/>
      <w:r w:rsidRPr="00E97424">
        <w:rPr>
          <w:sz w:val="18"/>
          <w:szCs w:val="18"/>
          <w:lang w:val="en-US"/>
        </w:rPr>
        <w:t xml:space="preserve">, </w:t>
      </w:r>
      <w:r w:rsidR="794E25B3" w:rsidRPr="00E97424">
        <w:rPr>
          <w:sz w:val="18"/>
          <w:szCs w:val="18"/>
          <w:lang w:val="en-US"/>
        </w:rPr>
        <w:t>‘The</w:t>
      </w:r>
      <w:r w:rsidRPr="00E97424">
        <w:rPr>
          <w:sz w:val="18"/>
          <w:szCs w:val="18"/>
          <w:lang w:val="en-US"/>
        </w:rPr>
        <w:t xml:space="preserve"> meaning of </w:t>
      </w:r>
      <w:r w:rsidR="794E25B3" w:rsidRPr="00E97424">
        <w:rPr>
          <w:sz w:val="18"/>
          <w:szCs w:val="18"/>
          <w:lang w:val="en-US"/>
        </w:rPr>
        <w:t>“</w:t>
      </w:r>
      <w:r w:rsidRPr="00E97424">
        <w:rPr>
          <w:sz w:val="18"/>
          <w:szCs w:val="18"/>
          <w:lang w:val="en-US"/>
        </w:rPr>
        <w:t xml:space="preserve">assist, encourage, or induce” in the weapons ban </w:t>
      </w:r>
      <w:r w:rsidR="794E25B3" w:rsidRPr="00E97424">
        <w:rPr>
          <w:sz w:val="18"/>
          <w:szCs w:val="18"/>
          <w:lang w:val="en-US"/>
        </w:rPr>
        <w:t>context’,</w:t>
      </w:r>
      <w:r w:rsidRPr="00E97424">
        <w:rPr>
          <w:sz w:val="18"/>
          <w:szCs w:val="18"/>
          <w:lang w:val="en-US"/>
        </w:rPr>
        <w:t xml:space="preserve"> 10 </w:t>
      </w:r>
      <w:proofErr w:type="spellStart"/>
      <w:r w:rsidRPr="00E97424">
        <w:rPr>
          <w:sz w:val="18"/>
          <w:szCs w:val="18"/>
          <w:lang w:val="en-US"/>
        </w:rPr>
        <w:t>december</w:t>
      </w:r>
      <w:proofErr w:type="spellEnd"/>
      <w:r w:rsidRPr="00E97424">
        <w:rPr>
          <w:sz w:val="18"/>
          <w:szCs w:val="18"/>
          <w:lang w:val="en-US"/>
        </w:rPr>
        <w:t xml:space="preserve"> 2012, p. 27, </w:t>
      </w:r>
      <w:proofErr w:type="spellStart"/>
      <w:r w:rsidRPr="00E97424">
        <w:rPr>
          <w:sz w:val="18"/>
          <w:szCs w:val="18"/>
          <w:lang w:val="en-US"/>
        </w:rPr>
        <w:t>te</w:t>
      </w:r>
      <w:proofErr w:type="spellEnd"/>
      <w:r w:rsidRPr="00E97424">
        <w:rPr>
          <w:sz w:val="18"/>
          <w:szCs w:val="18"/>
          <w:lang w:val="en-US"/>
        </w:rPr>
        <w:t xml:space="preserve"> </w:t>
      </w:r>
      <w:proofErr w:type="spellStart"/>
      <w:r w:rsidRPr="00E97424">
        <w:rPr>
          <w:sz w:val="18"/>
          <w:szCs w:val="18"/>
          <w:lang w:val="en-US"/>
        </w:rPr>
        <w:t>raadplegen</w:t>
      </w:r>
      <w:proofErr w:type="spellEnd"/>
      <w:r w:rsidRPr="00E97424">
        <w:rPr>
          <w:sz w:val="18"/>
          <w:szCs w:val="18"/>
          <w:lang w:val="en-US"/>
        </w:rPr>
        <w:t xml:space="preserve"> via: </w:t>
      </w:r>
      <w:hyperlink r:id="rId25">
        <w:r w:rsidRPr="00E97424">
          <w:rPr>
            <w:rStyle w:val="Hyperlink"/>
            <w:sz w:val="18"/>
            <w:szCs w:val="18"/>
            <w:lang w:val="en-US"/>
          </w:rPr>
          <w:t>https://law.yale.edu/sites/default/files/documents/pdf/cglc/yale_law_school_-_meaning_of_assist_encourage_or_induce.pdf</w:t>
        </w:r>
      </w:hyperlink>
      <w:r w:rsidRPr="00E97424">
        <w:rPr>
          <w:sz w:val="18"/>
          <w:szCs w:val="18"/>
          <w:lang w:val="en-US"/>
        </w:rPr>
        <w:t>.</w:t>
      </w:r>
    </w:p>
  </w:footnote>
  <w:footnote w:id="26">
    <w:p w14:paraId="038FAF53" w14:textId="77777777" w:rsidR="000A6581" w:rsidRPr="00E97424" w:rsidRDefault="000A6581" w:rsidP="00E97424">
      <w:pPr>
        <w:pStyle w:val="Voetnoottekst"/>
        <w:jc w:val="both"/>
        <w:rPr>
          <w:sz w:val="18"/>
          <w:szCs w:val="18"/>
          <w:lang w:val="en-US"/>
        </w:rPr>
      </w:pPr>
      <w:r w:rsidRPr="00E97424">
        <w:rPr>
          <w:rStyle w:val="Voetnootmarkering"/>
          <w:sz w:val="18"/>
          <w:szCs w:val="18"/>
          <w:lang w:val="en-US"/>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127.</w:t>
      </w:r>
    </w:p>
  </w:footnote>
  <w:footnote w:id="27">
    <w:p w14:paraId="3FA99D1C" w14:textId="77777777" w:rsidR="00066168" w:rsidRPr="00E97424" w:rsidRDefault="00066168" w:rsidP="00E97424">
      <w:pPr>
        <w:pStyle w:val="Voetnoottekst"/>
        <w:jc w:val="both"/>
        <w:rPr>
          <w:sz w:val="18"/>
          <w:szCs w:val="18"/>
          <w:lang w:val="en-US"/>
        </w:rPr>
      </w:pPr>
      <w:r w:rsidRPr="00E97424">
        <w:rPr>
          <w:rStyle w:val="Voetnootmarkering"/>
          <w:sz w:val="18"/>
          <w:szCs w:val="18"/>
          <w:lang w:val="en-US"/>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127.</w:t>
      </w:r>
    </w:p>
  </w:footnote>
  <w:footnote w:id="28">
    <w:p w14:paraId="29DE3203" w14:textId="09DAD33F" w:rsidR="00043E48" w:rsidRPr="00E97424" w:rsidRDefault="00043E48"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C. </w:t>
      </w:r>
      <w:proofErr w:type="spellStart"/>
      <w:r w:rsidRPr="00E97424">
        <w:rPr>
          <w:sz w:val="18"/>
          <w:szCs w:val="18"/>
          <w:lang w:val="en-US"/>
        </w:rPr>
        <w:t>Koningisor</w:t>
      </w:r>
      <w:proofErr w:type="spellEnd"/>
      <w:r w:rsidRPr="00E97424">
        <w:rPr>
          <w:sz w:val="18"/>
          <w:szCs w:val="18"/>
          <w:lang w:val="en-US"/>
        </w:rPr>
        <w:t xml:space="preserve">, </w:t>
      </w:r>
      <w:r w:rsidR="794E25B3" w:rsidRPr="00E97424">
        <w:rPr>
          <w:sz w:val="18"/>
          <w:szCs w:val="18"/>
          <w:lang w:val="en-US"/>
        </w:rPr>
        <w:t>‘The</w:t>
      </w:r>
      <w:r w:rsidRPr="00E97424">
        <w:rPr>
          <w:sz w:val="18"/>
          <w:szCs w:val="18"/>
          <w:lang w:val="en-US"/>
        </w:rPr>
        <w:t xml:space="preserve"> meaning of </w:t>
      </w:r>
      <w:r w:rsidR="794E25B3" w:rsidRPr="00E97424">
        <w:rPr>
          <w:sz w:val="18"/>
          <w:szCs w:val="18"/>
          <w:lang w:val="en-US"/>
        </w:rPr>
        <w:t>“</w:t>
      </w:r>
      <w:r w:rsidRPr="00E97424">
        <w:rPr>
          <w:sz w:val="18"/>
          <w:szCs w:val="18"/>
          <w:lang w:val="en-US"/>
        </w:rPr>
        <w:t xml:space="preserve">assist, encourage, or induce” in the weapons ban </w:t>
      </w:r>
      <w:r w:rsidR="794E25B3" w:rsidRPr="00E97424">
        <w:rPr>
          <w:sz w:val="18"/>
          <w:szCs w:val="18"/>
          <w:lang w:val="en-US"/>
        </w:rPr>
        <w:t>context’,</w:t>
      </w:r>
      <w:r w:rsidRPr="00E97424">
        <w:rPr>
          <w:sz w:val="18"/>
          <w:szCs w:val="18"/>
          <w:lang w:val="en-US"/>
        </w:rPr>
        <w:t xml:space="preserve"> 10 </w:t>
      </w:r>
      <w:proofErr w:type="spellStart"/>
      <w:r w:rsidRPr="00E97424">
        <w:rPr>
          <w:sz w:val="18"/>
          <w:szCs w:val="18"/>
          <w:lang w:val="en-US"/>
        </w:rPr>
        <w:t>december</w:t>
      </w:r>
      <w:proofErr w:type="spellEnd"/>
      <w:r w:rsidRPr="00E97424">
        <w:rPr>
          <w:sz w:val="18"/>
          <w:szCs w:val="18"/>
          <w:lang w:val="en-US"/>
        </w:rPr>
        <w:t xml:space="preserve"> 2012, p. 29-30, </w:t>
      </w:r>
      <w:proofErr w:type="spellStart"/>
      <w:r w:rsidRPr="00E97424">
        <w:rPr>
          <w:sz w:val="18"/>
          <w:szCs w:val="18"/>
          <w:lang w:val="en-US"/>
        </w:rPr>
        <w:t>te</w:t>
      </w:r>
      <w:proofErr w:type="spellEnd"/>
      <w:r w:rsidRPr="00E97424">
        <w:rPr>
          <w:sz w:val="18"/>
          <w:szCs w:val="18"/>
          <w:lang w:val="en-US"/>
        </w:rPr>
        <w:t xml:space="preserve"> </w:t>
      </w:r>
      <w:proofErr w:type="spellStart"/>
      <w:r w:rsidRPr="00E97424">
        <w:rPr>
          <w:sz w:val="18"/>
          <w:szCs w:val="18"/>
          <w:lang w:val="en-US"/>
        </w:rPr>
        <w:t>raadplegen</w:t>
      </w:r>
      <w:proofErr w:type="spellEnd"/>
      <w:r w:rsidRPr="00E97424">
        <w:rPr>
          <w:sz w:val="18"/>
          <w:szCs w:val="18"/>
          <w:lang w:val="en-US"/>
        </w:rPr>
        <w:t xml:space="preserve"> via: </w:t>
      </w:r>
      <w:hyperlink r:id="rId26">
        <w:r w:rsidRPr="00E97424">
          <w:rPr>
            <w:rStyle w:val="Hyperlink"/>
            <w:sz w:val="18"/>
            <w:szCs w:val="18"/>
            <w:lang w:val="en-US"/>
          </w:rPr>
          <w:t>https://law.yale.edu/sites/default/files/documents/pdf/cglc/yale_law_school_-_meaning_of_assist_encourage_or_induce.pdf</w:t>
        </w:r>
      </w:hyperlink>
      <w:r w:rsidRPr="00E97424">
        <w:rPr>
          <w:sz w:val="18"/>
          <w:szCs w:val="18"/>
          <w:lang w:val="en-US"/>
        </w:rPr>
        <w:t>.</w:t>
      </w:r>
    </w:p>
    <w:p w14:paraId="4C3178E0" w14:textId="77777777" w:rsidR="00043E48" w:rsidRPr="00E97424" w:rsidRDefault="00043E48" w:rsidP="00E97424">
      <w:pPr>
        <w:pStyle w:val="Voetnoottekst"/>
        <w:jc w:val="both"/>
        <w:rPr>
          <w:sz w:val="18"/>
          <w:szCs w:val="18"/>
          <w:lang w:val="en-US"/>
        </w:rPr>
      </w:pPr>
    </w:p>
  </w:footnote>
  <w:footnote w:id="29">
    <w:p w14:paraId="32C7AB74" w14:textId="77777777" w:rsidR="000E0BC0" w:rsidRPr="00E97424" w:rsidRDefault="000E0BC0"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127-128.</w:t>
      </w:r>
    </w:p>
  </w:footnote>
  <w:footnote w:id="30">
    <w:p w14:paraId="31095A3B" w14:textId="77777777" w:rsidR="000E0BC0" w:rsidRPr="00E97424" w:rsidRDefault="000E0BC0"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128.</w:t>
      </w:r>
    </w:p>
  </w:footnote>
  <w:footnote w:id="31">
    <w:p w14:paraId="4ED76226" w14:textId="77777777" w:rsidR="000E0BC0" w:rsidRPr="00E97424" w:rsidRDefault="000E0BC0"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 xml:space="preserve">Oxford: Oxford University Press 2010, p. 127. </w:t>
      </w:r>
    </w:p>
  </w:footnote>
  <w:footnote w:id="32">
    <w:p w14:paraId="37DD280B" w14:textId="62732832" w:rsidR="000E0BC0" w:rsidRPr="00E97424" w:rsidRDefault="000E0BC0"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W. </w:t>
      </w:r>
      <w:proofErr w:type="spellStart"/>
      <w:r w:rsidRPr="00E97424">
        <w:rPr>
          <w:sz w:val="18"/>
          <w:szCs w:val="18"/>
          <w:lang w:val="en-US"/>
        </w:rPr>
        <w:t>Krutzsch</w:t>
      </w:r>
      <w:proofErr w:type="spellEnd"/>
      <w:r w:rsidRPr="00E97424">
        <w:rPr>
          <w:sz w:val="18"/>
          <w:szCs w:val="18"/>
          <w:lang w:val="en-US"/>
        </w:rPr>
        <w:t xml:space="preserve"> </w:t>
      </w:r>
      <w:proofErr w:type="spellStart"/>
      <w:r w:rsidRPr="00E97424">
        <w:rPr>
          <w:sz w:val="18"/>
          <w:szCs w:val="18"/>
          <w:lang w:val="en-US"/>
        </w:rPr>
        <w:t>e.a.</w:t>
      </w:r>
      <w:proofErr w:type="spellEnd"/>
      <w:r w:rsidRPr="00E97424">
        <w:rPr>
          <w:sz w:val="18"/>
          <w:szCs w:val="18"/>
          <w:lang w:val="en-US"/>
        </w:rPr>
        <w:t>, ‘The Chemical Weapons Convention: A Commentary', Oxford: Oxford University Press 2014, p. 17.</w:t>
      </w:r>
      <w:r w:rsidR="00134408" w:rsidRPr="00E97424">
        <w:rPr>
          <w:sz w:val="18"/>
          <w:szCs w:val="18"/>
          <w:lang w:val="en-US"/>
        </w:rPr>
        <w:t xml:space="preserve"> </w:t>
      </w:r>
      <w:proofErr w:type="spellStart"/>
      <w:r w:rsidR="00134408" w:rsidRPr="00E97424">
        <w:rPr>
          <w:sz w:val="18"/>
          <w:szCs w:val="18"/>
          <w:lang w:val="en-US"/>
        </w:rPr>
        <w:t>Zie</w:t>
      </w:r>
      <w:proofErr w:type="spellEnd"/>
      <w:r w:rsidR="00F32C17" w:rsidRPr="00E97424">
        <w:rPr>
          <w:sz w:val="18"/>
          <w:szCs w:val="18"/>
          <w:lang w:val="en-US"/>
        </w:rPr>
        <w:t xml:space="preserve"> S. Casey-Maslen </w:t>
      </w:r>
      <w:proofErr w:type="spellStart"/>
      <w:r w:rsidR="00F32C17" w:rsidRPr="00E97424">
        <w:rPr>
          <w:sz w:val="18"/>
          <w:szCs w:val="18"/>
          <w:lang w:val="en-US"/>
        </w:rPr>
        <w:t>e.a.</w:t>
      </w:r>
      <w:proofErr w:type="spellEnd"/>
      <w:r w:rsidR="00F32C17" w:rsidRPr="00E97424">
        <w:rPr>
          <w:sz w:val="18"/>
          <w:szCs w:val="18"/>
          <w:lang w:val="en-US"/>
        </w:rPr>
        <w:t xml:space="preserve">, ‘General obligations and scope of application', in: G. Nystuen </w:t>
      </w:r>
      <w:proofErr w:type="spellStart"/>
      <w:r w:rsidR="00F32C17" w:rsidRPr="00E97424">
        <w:rPr>
          <w:sz w:val="18"/>
          <w:szCs w:val="18"/>
          <w:lang w:val="en-US"/>
        </w:rPr>
        <w:t>en</w:t>
      </w:r>
      <w:proofErr w:type="spellEnd"/>
      <w:r w:rsidR="00F32C17" w:rsidRPr="00E97424">
        <w:rPr>
          <w:sz w:val="18"/>
          <w:szCs w:val="18"/>
          <w:lang w:val="en-US"/>
        </w:rPr>
        <w:t xml:space="preserve"> S. Casey-Maslen, </w:t>
      </w:r>
      <w:r w:rsidR="00F32C17" w:rsidRPr="00E97424">
        <w:rPr>
          <w:i/>
          <w:iCs/>
          <w:sz w:val="18"/>
          <w:szCs w:val="18"/>
          <w:lang w:val="en-US"/>
        </w:rPr>
        <w:t xml:space="preserve">The Convention on Cluster Munitions: A Commentary, </w:t>
      </w:r>
      <w:r w:rsidR="00F32C17" w:rsidRPr="00E97424">
        <w:rPr>
          <w:sz w:val="18"/>
          <w:szCs w:val="18"/>
          <w:lang w:val="en-US"/>
        </w:rPr>
        <w:t xml:space="preserve">Oxford: Oxford University Press 2010, p. 129. </w:t>
      </w:r>
    </w:p>
  </w:footnote>
  <w:footnote w:id="33">
    <w:p w14:paraId="43DED517" w14:textId="77777777" w:rsidR="00830BC1" w:rsidRPr="00E97424" w:rsidRDefault="00830BC1" w:rsidP="00E97424">
      <w:pPr>
        <w:pStyle w:val="Voetnoottekst"/>
        <w:jc w:val="both"/>
        <w:rPr>
          <w:sz w:val="18"/>
          <w:szCs w:val="18"/>
          <w:lang w:val="en-US"/>
        </w:rPr>
      </w:pPr>
      <w:r w:rsidRPr="00E97424">
        <w:rPr>
          <w:rStyle w:val="Voetnootmarkering"/>
          <w:sz w:val="18"/>
          <w:szCs w:val="18"/>
          <w:lang w:val="en-US"/>
        </w:rPr>
        <w:footnoteRef/>
      </w:r>
      <w:r w:rsidRPr="00E97424">
        <w:rPr>
          <w:sz w:val="18"/>
          <w:szCs w:val="18"/>
          <w:lang w:val="en-US"/>
        </w:rPr>
        <w:t xml:space="preserve"> K. </w:t>
      </w:r>
      <w:proofErr w:type="spellStart"/>
      <w:r w:rsidRPr="00E97424">
        <w:rPr>
          <w:sz w:val="18"/>
          <w:szCs w:val="18"/>
          <w:lang w:val="en-US"/>
        </w:rPr>
        <w:t>Vignard</w:t>
      </w:r>
      <w:proofErr w:type="spellEnd"/>
      <w:r w:rsidRPr="00E97424">
        <w:rPr>
          <w:sz w:val="18"/>
          <w:szCs w:val="18"/>
          <w:lang w:val="en-US"/>
        </w:rPr>
        <w:t xml:space="preserve"> </w:t>
      </w:r>
      <w:proofErr w:type="spellStart"/>
      <w:r w:rsidRPr="00E97424">
        <w:rPr>
          <w:sz w:val="18"/>
          <w:szCs w:val="18"/>
          <w:lang w:val="en-US"/>
        </w:rPr>
        <w:t>e.a.</w:t>
      </w:r>
      <w:proofErr w:type="spellEnd"/>
      <w:r w:rsidRPr="00E97424">
        <w:rPr>
          <w:sz w:val="18"/>
          <w:szCs w:val="18"/>
          <w:lang w:val="en-US"/>
        </w:rPr>
        <w:t xml:space="preserve">, ‘Implementing the Convention on Cluster Munitions’, </w:t>
      </w:r>
      <w:r w:rsidRPr="00E97424">
        <w:rPr>
          <w:i/>
          <w:iCs/>
          <w:sz w:val="18"/>
          <w:szCs w:val="18"/>
          <w:lang w:val="en-US"/>
        </w:rPr>
        <w:t>Disarmament forum</w:t>
      </w:r>
      <w:r w:rsidRPr="00E97424">
        <w:rPr>
          <w:sz w:val="18"/>
          <w:szCs w:val="18"/>
          <w:lang w:val="en-US"/>
        </w:rPr>
        <w:t xml:space="preserve"> (United Nations Institute for Disarmament Research) 2010, vol. 1, p. 53.</w:t>
      </w:r>
    </w:p>
  </w:footnote>
  <w:footnote w:id="34">
    <w:p w14:paraId="56A1A913" w14:textId="48AAFC51" w:rsidR="00830BC1" w:rsidRPr="00E97424" w:rsidRDefault="00830BC1" w:rsidP="00E97424">
      <w:pPr>
        <w:pStyle w:val="Voetnoottekst"/>
        <w:jc w:val="both"/>
        <w:rPr>
          <w:sz w:val="18"/>
          <w:szCs w:val="18"/>
          <w:lang w:val="en-US"/>
        </w:rPr>
      </w:pPr>
      <w:r w:rsidRPr="00E97424">
        <w:rPr>
          <w:rStyle w:val="Voetnootmarkering"/>
          <w:sz w:val="18"/>
          <w:szCs w:val="18"/>
          <w:lang w:val="en-US"/>
        </w:rPr>
        <w:footnoteRef/>
      </w:r>
      <w:r w:rsidRPr="00E97424">
        <w:rPr>
          <w:sz w:val="18"/>
          <w:szCs w:val="18"/>
          <w:lang w:val="en-US"/>
        </w:rPr>
        <w:t xml:space="preserve"> </w:t>
      </w:r>
      <w:r w:rsidR="794E25B3" w:rsidRPr="00E97424">
        <w:rPr>
          <w:sz w:val="18"/>
          <w:szCs w:val="18"/>
          <w:lang w:val="en-US"/>
        </w:rPr>
        <w:t>‘Interoperability</w:t>
      </w:r>
      <w:r w:rsidRPr="00E97424">
        <w:rPr>
          <w:sz w:val="18"/>
          <w:szCs w:val="18"/>
          <w:lang w:val="en-US"/>
        </w:rPr>
        <w:t xml:space="preserve"> and the Prohibition on Assistance Memorandum to Delegates of the Dublin Diplomatic Conference on Cluster Munitions’, Human Rights Watch – Human Rights Program Harvard Law School, 2008, p. 6.</w:t>
      </w:r>
    </w:p>
  </w:footnote>
  <w:footnote w:id="35">
    <w:p w14:paraId="7F4E96DF" w14:textId="0E16901F" w:rsidR="00701A45" w:rsidRPr="00E97424" w:rsidRDefault="00701A4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w:t>
      </w:r>
      <w:r w:rsidR="794E25B3" w:rsidRPr="00E97424">
        <w:rPr>
          <w:sz w:val="18"/>
          <w:szCs w:val="18"/>
          <w:lang w:val="en-US"/>
        </w:rPr>
        <w:t>‘Interoperability</w:t>
      </w:r>
      <w:r w:rsidRPr="00E97424">
        <w:rPr>
          <w:sz w:val="18"/>
          <w:szCs w:val="18"/>
          <w:lang w:val="en-US"/>
        </w:rPr>
        <w:t xml:space="preserve"> and the Prohibition on Assistance Memorandum to Delegates of the Dublin Diplomatic Conference on Cluster Munitions’, Human Rights Watch – Human Rights Program Harvard Law School, 2008, p. 9.</w:t>
      </w:r>
    </w:p>
  </w:footnote>
  <w:footnote w:id="36">
    <w:p w14:paraId="12E00FF4" w14:textId="239AE2E8" w:rsidR="00830BC1" w:rsidRPr="00E97424" w:rsidRDefault="00830BC1"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w:t>
      </w:r>
      <w:r w:rsidR="794E25B3" w:rsidRPr="00E97424">
        <w:rPr>
          <w:sz w:val="18"/>
          <w:szCs w:val="18"/>
          <w:lang w:val="en-US"/>
        </w:rPr>
        <w:t>‘Interoperability</w:t>
      </w:r>
      <w:r w:rsidRPr="00E97424">
        <w:rPr>
          <w:sz w:val="18"/>
          <w:szCs w:val="18"/>
          <w:lang w:val="en-US"/>
        </w:rPr>
        <w:t xml:space="preserve"> and the Prohibition on Assistance Memorandum to Delegates of the Dublin Diplomatic Conference on Cluster Munitions’, Human Rights Watch – Human Rights Program Harvard Law School, 2008, p. 9.</w:t>
      </w:r>
    </w:p>
  </w:footnote>
  <w:footnote w:id="37">
    <w:p w14:paraId="4BA8C670" w14:textId="7CD020A1" w:rsidR="00D932B8" w:rsidRPr="00E97424" w:rsidRDefault="00D932B8" w:rsidP="00E97424">
      <w:pPr>
        <w:pStyle w:val="Voetnoottekst"/>
        <w:jc w:val="both"/>
        <w:rPr>
          <w:sz w:val="18"/>
          <w:szCs w:val="18"/>
          <w:lang w:val="en-US"/>
        </w:rPr>
      </w:pPr>
      <w:r w:rsidRPr="00E97424">
        <w:rPr>
          <w:rStyle w:val="Voetnootmarkering"/>
          <w:sz w:val="18"/>
          <w:szCs w:val="18"/>
          <w:lang w:val="en-US"/>
        </w:rPr>
        <w:footnoteRef/>
      </w:r>
      <w:r w:rsidR="794E25B3" w:rsidRPr="00E97424">
        <w:rPr>
          <w:sz w:val="18"/>
          <w:szCs w:val="18"/>
          <w:lang w:val="en-US"/>
        </w:rPr>
        <w:t xml:space="preserve"> H. P. Aust, ‘Cluster Munition and International Law - Ukraine’s Use of Cluster Munition and its Implications for Allies Like the Federal Republic of Germany’, verfassungsblog.de, 28 </w:t>
      </w:r>
      <w:proofErr w:type="spellStart"/>
      <w:r w:rsidR="794E25B3" w:rsidRPr="00E97424">
        <w:rPr>
          <w:sz w:val="18"/>
          <w:szCs w:val="18"/>
          <w:lang w:val="en-US"/>
        </w:rPr>
        <w:t>juli</w:t>
      </w:r>
      <w:proofErr w:type="spellEnd"/>
      <w:r w:rsidR="794E25B3" w:rsidRPr="00E97424">
        <w:rPr>
          <w:sz w:val="18"/>
          <w:szCs w:val="18"/>
          <w:lang w:val="en-US"/>
        </w:rPr>
        <w:t xml:space="preserve"> 2023, </w:t>
      </w:r>
      <w:proofErr w:type="spellStart"/>
      <w:r w:rsidR="794E25B3" w:rsidRPr="00E97424">
        <w:rPr>
          <w:sz w:val="18"/>
          <w:szCs w:val="18"/>
          <w:lang w:val="en-US"/>
        </w:rPr>
        <w:t>te</w:t>
      </w:r>
      <w:proofErr w:type="spellEnd"/>
      <w:r w:rsidR="794E25B3" w:rsidRPr="00E97424">
        <w:rPr>
          <w:sz w:val="18"/>
          <w:szCs w:val="18"/>
          <w:lang w:val="en-US"/>
        </w:rPr>
        <w:t xml:space="preserve"> </w:t>
      </w:r>
      <w:proofErr w:type="spellStart"/>
      <w:r w:rsidR="794E25B3" w:rsidRPr="00E97424">
        <w:rPr>
          <w:sz w:val="18"/>
          <w:szCs w:val="18"/>
          <w:lang w:val="en-US"/>
        </w:rPr>
        <w:t>raadplegen</w:t>
      </w:r>
      <w:proofErr w:type="spellEnd"/>
      <w:r w:rsidR="794E25B3" w:rsidRPr="00E97424">
        <w:rPr>
          <w:sz w:val="18"/>
          <w:szCs w:val="18"/>
          <w:lang w:val="en-US"/>
        </w:rPr>
        <w:t xml:space="preserve"> via: </w:t>
      </w:r>
      <w:hyperlink r:id="rId27">
        <w:r w:rsidR="794E25B3" w:rsidRPr="00E97424">
          <w:rPr>
            <w:rStyle w:val="Hyperlink"/>
            <w:sz w:val="18"/>
            <w:szCs w:val="18"/>
            <w:lang w:val="en-US"/>
          </w:rPr>
          <w:t>https://verfassungsblog.de/cluster-munition-and-international-law/</w:t>
        </w:r>
      </w:hyperlink>
      <w:r w:rsidR="794E25B3" w:rsidRPr="00E97424">
        <w:rPr>
          <w:sz w:val="18"/>
          <w:szCs w:val="18"/>
          <w:lang w:val="en-US"/>
        </w:rPr>
        <w:t>.</w:t>
      </w:r>
    </w:p>
  </w:footnote>
  <w:footnote w:id="38">
    <w:p w14:paraId="778EA342" w14:textId="067C8BA2" w:rsidR="000E0BC0" w:rsidRPr="00E97424" w:rsidRDefault="000E0BC0" w:rsidP="00E97424">
      <w:pPr>
        <w:pStyle w:val="Voetnoottekst"/>
        <w:jc w:val="both"/>
        <w:rPr>
          <w:sz w:val="18"/>
          <w:szCs w:val="18"/>
        </w:rPr>
      </w:pPr>
      <w:r w:rsidRPr="00E97424">
        <w:rPr>
          <w:rStyle w:val="Voetnootmarkering"/>
          <w:sz w:val="18"/>
          <w:szCs w:val="18"/>
        </w:rPr>
        <w:footnoteRef/>
      </w:r>
      <w:r w:rsidRPr="00E97424">
        <w:rPr>
          <w:sz w:val="18"/>
          <w:szCs w:val="18"/>
        </w:rPr>
        <w:t xml:space="preserve"> </w:t>
      </w:r>
      <w:r w:rsidRPr="00E97424">
        <w:rPr>
          <w:i/>
          <w:iCs/>
          <w:sz w:val="18"/>
          <w:szCs w:val="18"/>
        </w:rPr>
        <w:t>Kamerstukken II</w:t>
      </w:r>
      <w:r w:rsidRPr="00E97424">
        <w:rPr>
          <w:i/>
          <w:sz w:val="18"/>
          <w:szCs w:val="18"/>
        </w:rPr>
        <w:t xml:space="preserve"> </w:t>
      </w:r>
      <w:r w:rsidRPr="00E97424">
        <w:rPr>
          <w:sz w:val="18"/>
          <w:szCs w:val="18"/>
        </w:rPr>
        <w:t>2009</w:t>
      </w:r>
      <w:r w:rsidR="794E25B3" w:rsidRPr="00E97424">
        <w:rPr>
          <w:sz w:val="18"/>
          <w:szCs w:val="18"/>
        </w:rPr>
        <w:t>/10</w:t>
      </w:r>
      <w:r w:rsidRPr="00E97424">
        <w:rPr>
          <w:sz w:val="18"/>
          <w:szCs w:val="18"/>
        </w:rPr>
        <w:t>, 32 187, nr. 3</w:t>
      </w:r>
      <w:r w:rsidR="794E25B3" w:rsidRPr="00E97424">
        <w:rPr>
          <w:sz w:val="18"/>
          <w:szCs w:val="18"/>
        </w:rPr>
        <w:t>, te raadplegen via:</w:t>
      </w:r>
      <w:r w:rsidRPr="00E97424">
        <w:rPr>
          <w:sz w:val="18"/>
          <w:szCs w:val="18"/>
        </w:rPr>
        <w:t xml:space="preserve"> </w:t>
      </w:r>
      <w:hyperlink r:id="rId28" w:history="1">
        <w:r w:rsidRPr="00E97424">
          <w:rPr>
            <w:rStyle w:val="Hyperlink"/>
            <w:sz w:val="18"/>
            <w:szCs w:val="18"/>
          </w:rPr>
          <w:t>https://zoek.officielebekendmakingen.nl/kst-32187-3.html</w:t>
        </w:r>
      </w:hyperlink>
      <w:r w:rsidRPr="00E97424">
        <w:rPr>
          <w:sz w:val="18"/>
          <w:szCs w:val="18"/>
        </w:rPr>
        <w:t>.</w:t>
      </w:r>
    </w:p>
  </w:footnote>
  <w:footnote w:id="39">
    <w:p w14:paraId="361A1017" w14:textId="1E3D0F18" w:rsidR="000E0BC0" w:rsidRPr="00E97424" w:rsidRDefault="000E0BC0" w:rsidP="00E97424">
      <w:pPr>
        <w:pStyle w:val="Voetnoottekst"/>
        <w:jc w:val="both"/>
        <w:rPr>
          <w:sz w:val="18"/>
          <w:szCs w:val="18"/>
        </w:rPr>
      </w:pPr>
      <w:r w:rsidRPr="00E97424">
        <w:rPr>
          <w:rStyle w:val="Voetnootmarkering"/>
          <w:sz w:val="18"/>
          <w:szCs w:val="18"/>
        </w:rPr>
        <w:footnoteRef/>
      </w:r>
      <w:r w:rsidRPr="00E97424">
        <w:rPr>
          <w:sz w:val="18"/>
          <w:szCs w:val="18"/>
        </w:rPr>
        <w:t xml:space="preserve"> </w:t>
      </w:r>
      <w:r w:rsidRPr="00E97424">
        <w:rPr>
          <w:i/>
          <w:iCs/>
          <w:sz w:val="18"/>
          <w:szCs w:val="18"/>
        </w:rPr>
        <w:t>Kamerstukken II</w:t>
      </w:r>
      <w:r w:rsidRPr="00E97424">
        <w:rPr>
          <w:sz w:val="18"/>
          <w:szCs w:val="18"/>
        </w:rPr>
        <w:t xml:space="preserve"> 2009</w:t>
      </w:r>
      <w:r w:rsidR="794E25B3" w:rsidRPr="00E97424">
        <w:rPr>
          <w:sz w:val="18"/>
          <w:szCs w:val="18"/>
        </w:rPr>
        <w:t>/10</w:t>
      </w:r>
      <w:r w:rsidRPr="00E97424">
        <w:rPr>
          <w:sz w:val="18"/>
          <w:szCs w:val="18"/>
        </w:rPr>
        <w:t>, 32 187, nr. 3, p. 3</w:t>
      </w:r>
      <w:r w:rsidR="794E25B3" w:rsidRPr="00E97424">
        <w:rPr>
          <w:sz w:val="18"/>
          <w:szCs w:val="18"/>
        </w:rPr>
        <w:t>, te raadplegen via:</w:t>
      </w:r>
      <w:r w:rsidRPr="00E97424">
        <w:rPr>
          <w:sz w:val="18"/>
          <w:szCs w:val="18"/>
        </w:rPr>
        <w:t xml:space="preserve"> </w:t>
      </w:r>
      <w:hyperlink r:id="rId29" w:history="1">
        <w:r w:rsidRPr="00E97424">
          <w:rPr>
            <w:rStyle w:val="Hyperlink"/>
            <w:sz w:val="18"/>
            <w:szCs w:val="18"/>
          </w:rPr>
          <w:t>https://zoek.officielebekendmakingen.nl/kst-32187-3.html</w:t>
        </w:r>
      </w:hyperlink>
      <w:r w:rsidRPr="00E97424">
        <w:rPr>
          <w:sz w:val="18"/>
          <w:szCs w:val="18"/>
        </w:rPr>
        <w:t>.</w:t>
      </w:r>
    </w:p>
  </w:footnote>
  <w:footnote w:id="40">
    <w:p w14:paraId="3F74673F" w14:textId="2CE7AFB8" w:rsidR="00830BC1" w:rsidRPr="00E97424" w:rsidRDefault="00830BC1"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Verslag Raad Buitenlandse Zaken 24 juni 2024 (</w:t>
      </w:r>
      <w:r w:rsidR="794E25B3" w:rsidRPr="00E97424">
        <w:rPr>
          <w:i/>
          <w:iCs/>
          <w:sz w:val="18"/>
          <w:szCs w:val="18"/>
        </w:rPr>
        <w:t>Kamerstukken I</w:t>
      </w:r>
      <w:r w:rsidR="794E25B3" w:rsidRPr="00E97424">
        <w:rPr>
          <w:sz w:val="18"/>
          <w:szCs w:val="18"/>
        </w:rPr>
        <w:t xml:space="preserve"> 2023/24, 21 501-02), p. 8, te raadplegen via: </w:t>
      </w:r>
      <w:hyperlink r:id="rId30" w:history="1">
        <w:r w:rsidRPr="00E97424">
          <w:rPr>
            <w:rStyle w:val="Hyperlink"/>
            <w:sz w:val="18"/>
            <w:szCs w:val="18"/>
          </w:rPr>
          <w:t>https://zoek.officielebekendmakingen.nl/kst-21501-02-GM.html</w:t>
        </w:r>
      </w:hyperlink>
      <w:r w:rsidR="794E25B3" w:rsidRPr="00E97424">
        <w:rPr>
          <w:sz w:val="18"/>
          <w:szCs w:val="18"/>
        </w:rPr>
        <w:t>.</w:t>
      </w:r>
    </w:p>
  </w:footnote>
  <w:footnote w:id="41">
    <w:p w14:paraId="6FA9C30F" w14:textId="019C0BD3" w:rsidR="00830BC1" w:rsidRPr="00E97424" w:rsidRDefault="00830BC1"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Brief van de minister van Buitenlandse Zaken, Aan de Voorzitter van de Eerste Kamer der Staten-Generaal, Den Haag, 14 november 2024 (</w:t>
      </w:r>
      <w:r w:rsidR="794E25B3" w:rsidRPr="00E97424">
        <w:rPr>
          <w:i/>
          <w:iCs/>
          <w:sz w:val="18"/>
          <w:szCs w:val="18"/>
        </w:rPr>
        <w:t>Kamerstukken I</w:t>
      </w:r>
      <w:r w:rsidR="794E25B3" w:rsidRPr="00E97424">
        <w:rPr>
          <w:sz w:val="18"/>
          <w:szCs w:val="18"/>
        </w:rPr>
        <w:t xml:space="preserve"> 2024/25, 36 410 V, L), p. 6, te raadplegen via</w:t>
      </w:r>
      <w:r w:rsidR="00E97424">
        <w:rPr>
          <w:sz w:val="18"/>
          <w:szCs w:val="18"/>
        </w:rPr>
        <w:t xml:space="preserve">: </w:t>
      </w:r>
      <w:r w:rsidR="794E25B3" w:rsidRPr="00E97424">
        <w:rPr>
          <w:rStyle w:val="Hyperlink"/>
          <w:sz w:val="18"/>
          <w:szCs w:val="18"/>
        </w:rPr>
        <w:t>https://zoek.officielebekendmakingen.nl/kst-36410-V-L.pdf</w:t>
      </w:r>
      <w:r w:rsidR="794E25B3" w:rsidRPr="00E97424">
        <w:rPr>
          <w:sz w:val="18"/>
          <w:szCs w:val="18"/>
        </w:rPr>
        <w:t>.</w:t>
      </w:r>
    </w:p>
  </w:footnote>
  <w:footnote w:id="42">
    <w:p w14:paraId="5EAD1B38" w14:textId="6B3AC790" w:rsidR="00830BC1" w:rsidRPr="00E97424" w:rsidRDefault="00830BC1"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Brief van de minister van Buitenlandse Zaken, Aan de Voorzitter van de Eerste Kamer der Staten-Generaal, Den Haag, 14 november 2024 (</w:t>
      </w:r>
      <w:r w:rsidR="794E25B3" w:rsidRPr="00E97424">
        <w:rPr>
          <w:i/>
          <w:iCs/>
          <w:sz w:val="18"/>
          <w:szCs w:val="18"/>
        </w:rPr>
        <w:t>Kamerstukken I</w:t>
      </w:r>
      <w:r w:rsidR="794E25B3" w:rsidRPr="00E97424">
        <w:rPr>
          <w:sz w:val="18"/>
          <w:szCs w:val="18"/>
        </w:rPr>
        <w:t xml:space="preserve"> 2024/25, 36 410 V, L), p. 6, te raadplegen via: </w:t>
      </w:r>
      <w:hyperlink r:id="rId31">
        <w:r w:rsidR="794E25B3" w:rsidRPr="00E97424">
          <w:rPr>
            <w:rStyle w:val="Hyperlink"/>
            <w:sz w:val="18"/>
            <w:szCs w:val="18"/>
          </w:rPr>
          <w:t>https://zoek.officielebekendmakingen.nl/kst-36410-V-L.pdf</w:t>
        </w:r>
      </w:hyperlink>
      <w:r w:rsidR="794E25B3" w:rsidRPr="00E97424">
        <w:rPr>
          <w:sz w:val="18"/>
          <w:szCs w:val="18"/>
        </w:rPr>
        <w:t>.</w:t>
      </w:r>
    </w:p>
  </w:footnote>
  <w:footnote w:id="43">
    <w:p w14:paraId="69C0EFF5" w14:textId="77777777" w:rsidR="00157286" w:rsidRPr="00E97424" w:rsidRDefault="00157286"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137.</w:t>
      </w:r>
    </w:p>
  </w:footnote>
  <w:footnote w:id="44">
    <w:p w14:paraId="27202639" w14:textId="77777777" w:rsidR="00157286" w:rsidRPr="00E97424" w:rsidRDefault="00157286"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543.</w:t>
      </w:r>
    </w:p>
  </w:footnote>
  <w:footnote w:id="45">
    <w:p w14:paraId="17670E95" w14:textId="77777777" w:rsidR="00157286" w:rsidRPr="00E97424" w:rsidRDefault="00157286"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543.</w:t>
      </w:r>
    </w:p>
  </w:footnote>
  <w:footnote w:id="46">
    <w:p w14:paraId="402F1235" w14:textId="00A264C5" w:rsidR="00CD388E" w:rsidRPr="00E97424" w:rsidRDefault="00CD388E" w:rsidP="00E97424">
      <w:pPr>
        <w:pStyle w:val="Voetnoottekst"/>
        <w:jc w:val="both"/>
        <w:rPr>
          <w:sz w:val="18"/>
          <w:szCs w:val="18"/>
          <w:lang w:val="en-US"/>
        </w:rPr>
      </w:pPr>
      <w:r w:rsidRPr="00E97424">
        <w:rPr>
          <w:rStyle w:val="Voetnootmarkering"/>
          <w:sz w:val="18"/>
          <w:szCs w:val="18"/>
          <w:lang w:val="en-US"/>
        </w:rPr>
        <w:footnoteRef/>
      </w:r>
      <w:r w:rsidRPr="00E97424">
        <w:rPr>
          <w:sz w:val="18"/>
          <w:szCs w:val="18"/>
          <w:lang w:val="en-US"/>
        </w:rPr>
        <w:t xml:space="preserve"> ICRC, </w:t>
      </w:r>
      <w:r w:rsidR="794E25B3" w:rsidRPr="00E97424">
        <w:rPr>
          <w:sz w:val="18"/>
          <w:szCs w:val="18"/>
          <w:lang w:val="en-US"/>
        </w:rPr>
        <w:t>‘Convention</w:t>
      </w:r>
      <w:r w:rsidRPr="00E97424">
        <w:rPr>
          <w:sz w:val="18"/>
          <w:szCs w:val="18"/>
          <w:lang w:val="en-US"/>
        </w:rPr>
        <w:t xml:space="preserve"> on Cluster Munitions: Interoperability and national legislation – the view of the ICRC’, 21 </w:t>
      </w:r>
      <w:proofErr w:type="spellStart"/>
      <w:r w:rsidRPr="00E97424">
        <w:rPr>
          <w:sz w:val="18"/>
          <w:szCs w:val="18"/>
          <w:lang w:val="en-US"/>
        </w:rPr>
        <w:t>januari</w:t>
      </w:r>
      <w:proofErr w:type="spellEnd"/>
      <w:r w:rsidRPr="00E97424">
        <w:rPr>
          <w:sz w:val="18"/>
          <w:szCs w:val="18"/>
          <w:lang w:val="en-US"/>
        </w:rPr>
        <w:t xml:space="preserve"> 2022, </w:t>
      </w:r>
      <w:proofErr w:type="spellStart"/>
      <w:r w:rsidRPr="00E97424">
        <w:rPr>
          <w:sz w:val="18"/>
          <w:szCs w:val="18"/>
          <w:lang w:val="en-US"/>
        </w:rPr>
        <w:t>te</w:t>
      </w:r>
      <w:proofErr w:type="spellEnd"/>
      <w:r w:rsidRPr="00E97424">
        <w:rPr>
          <w:sz w:val="18"/>
          <w:szCs w:val="18"/>
          <w:lang w:val="en-US"/>
        </w:rPr>
        <w:t xml:space="preserve"> </w:t>
      </w:r>
      <w:proofErr w:type="spellStart"/>
      <w:r w:rsidRPr="00E97424">
        <w:rPr>
          <w:sz w:val="18"/>
          <w:szCs w:val="18"/>
          <w:lang w:val="en-US"/>
        </w:rPr>
        <w:t>raadplegen</w:t>
      </w:r>
      <w:proofErr w:type="spellEnd"/>
      <w:r w:rsidRPr="00E97424">
        <w:rPr>
          <w:sz w:val="18"/>
          <w:szCs w:val="18"/>
          <w:lang w:val="en-US"/>
        </w:rPr>
        <w:t xml:space="preserve"> via: </w:t>
      </w:r>
      <w:hyperlink r:id="rId32">
        <w:r w:rsidRPr="00E97424">
          <w:rPr>
            <w:rStyle w:val="Hyperlink"/>
            <w:sz w:val="18"/>
            <w:szCs w:val="18"/>
            <w:lang w:val="en-US"/>
          </w:rPr>
          <w:t>https://www.icrc.org/en/document/convention-cluster-munitions-interoperability-and-national-legislation</w:t>
        </w:r>
      </w:hyperlink>
      <w:r w:rsidRPr="00E97424">
        <w:rPr>
          <w:sz w:val="18"/>
          <w:szCs w:val="18"/>
          <w:lang w:val="en-US"/>
        </w:rPr>
        <w:t xml:space="preserve">. </w:t>
      </w:r>
    </w:p>
  </w:footnote>
  <w:footnote w:id="47">
    <w:p w14:paraId="51B18C48" w14:textId="5C946806" w:rsidR="00933532" w:rsidRPr="00E97424" w:rsidRDefault="00933532"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w:t>
      </w:r>
      <w:r w:rsidR="794E25B3" w:rsidRPr="00E97424">
        <w:rPr>
          <w:sz w:val="18"/>
          <w:szCs w:val="18"/>
          <w:lang w:val="en-US"/>
        </w:rPr>
        <w:t>‘Convention</w:t>
      </w:r>
      <w:r w:rsidRPr="00E97424">
        <w:rPr>
          <w:sz w:val="18"/>
          <w:szCs w:val="18"/>
          <w:lang w:val="en-US"/>
        </w:rPr>
        <w:t xml:space="preserve"> on Cluster Munitions: Q&amp;A on Interoperability and the Prohibition on Assistance', Human Rights Watch 2010, p. 1.</w:t>
      </w:r>
    </w:p>
  </w:footnote>
  <w:footnote w:id="48">
    <w:p w14:paraId="67A7349B" w14:textId="77777777" w:rsidR="00157286" w:rsidRPr="00E97424" w:rsidRDefault="00157286"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544.</w:t>
      </w:r>
    </w:p>
  </w:footnote>
  <w:footnote w:id="49">
    <w:p w14:paraId="100F27F0" w14:textId="77777777" w:rsidR="00C60045" w:rsidRPr="00E97424" w:rsidRDefault="00C6004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572.</w:t>
      </w:r>
    </w:p>
  </w:footnote>
  <w:footnote w:id="50">
    <w:p w14:paraId="53A9F046" w14:textId="77777777" w:rsidR="007A0B1E" w:rsidRPr="00E97424" w:rsidRDefault="007A0B1E"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577-578.</w:t>
      </w:r>
    </w:p>
  </w:footnote>
  <w:footnote w:id="51">
    <w:p w14:paraId="5FE16A56" w14:textId="77777777" w:rsidR="00F76809" w:rsidRPr="00E97424" w:rsidRDefault="00F76809"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545.</w:t>
      </w:r>
    </w:p>
  </w:footnote>
  <w:footnote w:id="52">
    <w:p w14:paraId="65B9557C" w14:textId="77777777" w:rsidR="00F76809" w:rsidRPr="00E97424" w:rsidRDefault="00F76809"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 xml:space="preserve">Oxford: Oxford University Press 2010, p. 549. </w:t>
      </w:r>
    </w:p>
  </w:footnote>
  <w:footnote w:id="53">
    <w:p w14:paraId="7617C4E0" w14:textId="77777777" w:rsidR="00EA19E6" w:rsidRPr="00E97424" w:rsidRDefault="00EA19E6"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573.</w:t>
      </w:r>
    </w:p>
  </w:footnote>
  <w:footnote w:id="54">
    <w:p w14:paraId="7604B347" w14:textId="38B42D51" w:rsidR="00D47F08" w:rsidRPr="00E97424" w:rsidRDefault="00D47F08"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w:t>
      </w:r>
      <w:r w:rsidR="794E25B3" w:rsidRPr="00E97424">
        <w:rPr>
          <w:sz w:val="18"/>
          <w:szCs w:val="18"/>
          <w:lang w:val="en-US"/>
        </w:rPr>
        <w:t>‘Convention</w:t>
      </w:r>
      <w:r w:rsidRPr="00E97424">
        <w:rPr>
          <w:sz w:val="18"/>
          <w:szCs w:val="18"/>
          <w:lang w:val="en-US"/>
        </w:rPr>
        <w:t xml:space="preserve"> on Cluster Munitions: Q&amp;A on Interoperability and the Prohibition on Assistance', Human Rights Watch 2010, p. 1.</w:t>
      </w:r>
    </w:p>
  </w:footnote>
  <w:footnote w:id="55">
    <w:p w14:paraId="2D5E9079" w14:textId="2FA2F575" w:rsidR="00D47F08" w:rsidRPr="00E97424" w:rsidRDefault="00D47F08"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w:t>
      </w:r>
      <w:r w:rsidR="794E25B3" w:rsidRPr="00E97424">
        <w:rPr>
          <w:sz w:val="18"/>
          <w:szCs w:val="18"/>
          <w:lang w:val="en-US"/>
        </w:rPr>
        <w:t>‘Convention</w:t>
      </w:r>
      <w:r w:rsidRPr="00E97424">
        <w:rPr>
          <w:sz w:val="18"/>
          <w:szCs w:val="18"/>
          <w:lang w:val="en-US"/>
        </w:rPr>
        <w:t xml:space="preserve"> on Cluster Munitions: Q&amp;A on Interoperability and the Prohibition on Assistance', Human Rights Watch 2010, p. 3.</w:t>
      </w:r>
    </w:p>
  </w:footnote>
  <w:footnote w:id="56">
    <w:p w14:paraId="2E6ACC7C" w14:textId="77777777" w:rsidR="00193E7E" w:rsidRPr="00E97424" w:rsidRDefault="00193E7E"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549.</w:t>
      </w:r>
    </w:p>
  </w:footnote>
  <w:footnote w:id="57">
    <w:p w14:paraId="0D65694C" w14:textId="451E5482" w:rsidR="00B607F3" w:rsidRPr="00E97424" w:rsidRDefault="00B607F3"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w:t>
      </w:r>
      <w:r w:rsidR="794E25B3" w:rsidRPr="00E97424">
        <w:rPr>
          <w:sz w:val="18"/>
          <w:szCs w:val="18"/>
          <w:lang w:val="en-US"/>
        </w:rPr>
        <w:t>‘Convention</w:t>
      </w:r>
      <w:r w:rsidRPr="00E97424">
        <w:rPr>
          <w:sz w:val="18"/>
          <w:szCs w:val="18"/>
          <w:lang w:val="en-US"/>
        </w:rPr>
        <w:t xml:space="preserve"> on Cluster Munitions: Q&amp;A on Interoperability and the Prohibition on Assistance', Human Rights Watch 2010, p. 4.</w:t>
      </w:r>
    </w:p>
  </w:footnote>
  <w:footnote w:id="58">
    <w:p w14:paraId="61CFE6CF" w14:textId="77777777" w:rsidR="00EA19E6" w:rsidRPr="00E97424" w:rsidRDefault="00EA19E6"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580-587.</w:t>
      </w:r>
    </w:p>
  </w:footnote>
  <w:footnote w:id="59">
    <w:p w14:paraId="5D80EEFD" w14:textId="77777777" w:rsidR="005920DD" w:rsidRPr="00E97424" w:rsidRDefault="005920DD"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567-568.</w:t>
      </w:r>
    </w:p>
  </w:footnote>
  <w:footnote w:id="60">
    <w:p w14:paraId="365D460A" w14:textId="77777777" w:rsidR="005920DD" w:rsidRPr="00E97424" w:rsidRDefault="005920DD"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569.</w:t>
      </w:r>
    </w:p>
  </w:footnote>
  <w:footnote w:id="61">
    <w:p w14:paraId="3354B737" w14:textId="77777777" w:rsidR="005920DD" w:rsidRPr="00E97424" w:rsidRDefault="005920DD"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569-570.</w:t>
      </w:r>
    </w:p>
  </w:footnote>
  <w:footnote w:id="62">
    <w:p w14:paraId="2E02C3FE" w14:textId="51B123A5" w:rsidR="00945055" w:rsidRPr="00E97424" w:rsidRDefault="0094505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571.</w:t>
      </w:r>
    </w:p>
  </w:footnote>
  <w:footnote w:id="63">
    <w:p w14:paraId="54057AB1" w14:textId="46D5CD19" w:rsidR="005920DD" w:rsidRPr="00E97424" w:rsidRDefault="005920DD" w:rsidP="00E97424">
      <w:pPr>
        <w:pStyle w:val="Voetnoottekst"/>
        <w:jc w:val="both"/>
        <w:rPr>
          <w:sz w:val="18"/>
          <w:szCs w:val="18"/>
        </w:rPr>
      </w:pPr>
      <w:r w:rsidRPr="00E97424">
        <w:rPr>
          <w:rStyle w:val="Voetnootmarkering"/>
          <w:sz w:val="18"/>
          <w:szCs w:val="18"/>
        </w:rPr>
        <w:footnoteRef/>
      </w:r>
      <w:r w:rsidRPr="00E97424">
        <w:rPr>
          <w:sz w:val="18"/>
          <w:szCs w:val="18"/>
        </w:rPr>
        <w:t xml:space="preserve"> </w:t>
      </w:r>
      <w:r w:rsidRPr="00E97424">
        <w:rPr>
          <w:i/>
          <w:iCs/>
          <w:sz w:val="18"/>
          <w:szCs w:val="18"/>
        </w:rPr>
        <w:t>Kamerstukken II</w:t>
      </w:r>
      <w:r w:rsidRPr="00E97424">
        <w:rPr>
          <w:sz w:val="18"/>
          <w:szCs w:val="18"/>
        </w:rPr>
        <w:t xml:space="preserve"> 2009</w:t>
      </w:r>
      <w:r w:rsidR="794E25B3" w:rsidRPr="00E97424">
        <w:rPr>
          <w:sz w:val="18"/>
          <w:szCs w:val="18"/>
        </w:rPr>
        <w:t>/10</w:t>
      </w:r>
      <w:r w:rsidRPr="00E97424">
        <w:rPr>
          <w:sz w:val="18"/>
          <w:szCs w:val="18"/>
        </w:rPr>
        <w:t>, 32 187, nr. 3, p. 8</w:t>
      </w:r>
      <w:r w:rsidR="794E25B3" w:rsidRPr="00E97424">
        <w:rPr>
          <w:sz w:val="18"/>
          <w:szCs w:val="18"/>
        </w:rPr>
        <w:t>, te raadplegen via</w:t>
      </w:r>
      <w:r w:rsidRPr="00E97424">
        <w:rPr>
          <w:sz w:val="18"/>
          <w:szCs w:val="18"/>
        </w:rPr>
        <w:t xml:space="preserve">:  </w:t>
      </w:r>
      <w:hyperlink r:id="rId33" w:history="1">
        <w:r w:rsidRPr="00E97424">
          <w:rPr>
            <w:rStyle w:val="Hyperlink"/>
            <w:sz w:val="18"/>
            <w:szCs w:val="18"/>
          </w:rPr>
          <w:t>https://zoek.officielebekendmakingen.nl/kst-32187-3.html</w:t>
        </w:r>
      </w:hyperlink>
      <w:r w:rsidRPr="00E97424">
        <w:rPr>
          <w:sz w:val="18"/>
          <w:szCs w:val="18"/>
        </w:rPr>
        <w:t>.</w:t>
      </w:r>
    </w:p>
  </w:footnote>
  <w:footnote w:id="64">
    <w:p w14:paraId="7140BD9A" w14:textId="5C9C0F28" w:rsidR="005920DD" w:rsidRPr="00E97424" w:rsidRDefault="005920DD" w:rsidP="00E97424">
      <w:pPr>
        <w:pStyle w:val="Voetnoottekst"/>
        <w:jc w:val="both"/>
        <w:rPr>
          <w:sz w:val="18"/>
          <w:szCs w:val="18"/>
        </w:rPr>
      </w:pPr>
      <w:r w:rsidRPr="00E97424">
        <w:rPr>
          <w:rStyle w:val="Voetnootmarkering"/>
          <w:sz w:val="18"/>
          <w:szCs w:val="18"/>
        </w:rPr>
        <w:footnoteRef/>
      </w:r>
      <w:r w:rsidRPr="00E97424">
        <w:rPr>
          <w:sz w:val="18"/>
          <w:szCs w:val="18"/>
        </w:rPr>
        <w:t xml:space="preserve"> </w:t>
      </w:r>
      <w:r w:rsidRPr="00E97424">
        <w:rPr>
          <w:i/>
          <w:iCs/>
          <w:sz w:val="18"/>
          <w:szCs w:val="18"/>
        </w:rPr>
        <w:t>Kamerstukken II</w:t>
      </w:r>
      <w:r w:rsidRPr="00E97424">
        <w:rPr>
          <w:sz w:val="18"/>
          <w:szCs w:val="18"/>
        </w:rPr>
        <w:t xml:space="preserve"> 2009</w:t>
      </w:r>
      <w:r w:rsidR="794E25B3" w:rsidRPr="00E97424">
        <w:rPr>
          <w:sz w:val="18"/>
          <w:szCs w:val="18"/>
        </w:rPr>
        <w:t>/10</w:t>
      </w:r>
      <w:r w:rsidRPr="00E97424">
        <w:rPr>
          <w:sz w:val="18"/>
          <w:szCs w:val="18"/>
        </w:rPr>
        <w:t xml:space="preserve">, 32 187, nr. 6, p. </w:t>
      </w:r>
      <w:r w:rsidR="794E25B3" w:rsidRPr="00E97424">
        <w:rPr>
          <w:sz w:val="18"/>
          <w:szCs w:val="18"/>
        </w:rPr>
        <w:t xml:space="preserve">2, te raadplegen via: </w:t>
      </w:r>
      <w:hyperlink r:id="rId34">
        <w:r w:rsidR="794E25B3" w:rsidRPr="00E97424">
          <w:rPr>
            <w:rStyle w:val="Hyperlink"/>
            <w:sz w:val="18"/>
            <w:szCs w:val="18"/>
          </w:rPr>
          <w:t>https://zoek.officielebekendmakingen.nl/kst-32187-6.html</w:t>
        </w:r>
      </w:hyperlink>
      <w:r w:rsidR="794E25B3" w:rsidRPr="00E97424">
        <w:rPr>
          <w:sz w:val="18"/>
          <w:szCs w:val="18"/>
        </w:rPr>
        <w:t>.</w:t>
      </w:r>
    </w:p>
  </w:footnote>
  <w:footnote w:id="65">
    <w:p w14:paraId="05F7F5E6" w14:textId="37CF881C" w:rsidR="00877ADD" w:rsidRPr="00E97424" w:rsidRDefault="00877ADD"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Verslag Raad Buitenlandse Zaken 24 juni 2024 (</w:t>
      </w:r>
      <w:r w:rsidR="794E25B3" w:rsidRPr="00E97424">
        <w:rPr>
          <w:i/>
          <w:iCs/>
          <w:sz w:val="18"/>
          <w:szCs w:val="18"/>
        </w:rPr>
        <w:t>Kamerstukken I</w:t>
      </w:r>
      <w:r w:rsidR="794E25B3" w:rsidRPr="00E97424">
        <w:rPr>
          <w:sz w:val="18"/>
          <w:szCs w:val="18"/>
        </w:rPr>
        <w:t xml:space="preserve"> 2023/24, 21 501-02), p. 7, te raadplegen via: </w:t>
      </w:r>
      <w:hyperlink r:id="rId35" w:history="1">
        <w:r w:rsidR="000C54ED" w:rsidRPr="00E97424">
          <w:rPr>
            <w:rStyle w:val="Hyperlink"/>
            <w:sz w:val="18"/>
            <w:szCs w:val="18"/>
          </w:rPr>
          <w:t>https://zoek.officielebekendmakingen.nl/kst-21501-02-GM.pdf</w:t>
        </w:r>
      </w:hyperlink>
      <w:r w:rsidR="794E25B3" w:rsidRPr="00E97424">
        <w:rPr>
          <w:sz w:val="18"/>
          <w:szCs w:val="18"/>
        </w:rPr>
        <w:t>.</w:t>
      </w:r>
      <w:r w:rsidR="000C54ED" w:rsidRPr="00E97424">
        <w:rPr>
          <w:sz w:val="18"/>
          <w:szCs w:val="18"/>
        </w:rPr>
        <w:t xml:space="preserve">   </w:t>
      </w:r>
    </w:p>
  </w:footnote>
  <w:footnote w:id="66">
    <w:p w14:paraId="122DA27E" w14:textId="08341021" w:rsidR="00CE3D1F" w:rsidRPr="00E97424" w:rsidRDefault="00CE3D1F"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Verslag Raad Buitenlandse Zaken 24 juni 2024 (</w:t>
      </w:r>
      <w:r w:rsidR="794E25B3" w:rsidRPr="00E97424">
        <w:rPr>
          <w:i/>
          <w:iCs/>
          <w:sz w:val="18"/>
          <w:szCs w:val="18"/>
        </w:rPr>
        <w:t>Kamerstukken I</w:t>
      </w:r>
      <w:r w:rsidR="794E25B3" w:rsidRPr="00E97424">
        <w:rPr>
          <w:sz w:val="18"/>
          <w:szCs w:val="18"/>
        </w:rPr>
        <w:t xml:space="preserve"> 2023/24, 21 501-02), p. 8, te raadplegen via: </w:t>
      </w:r>
      <w:hyperlink r:id="rId36">
        <w:r w:rsidR="794E25B3" w:rsidRPr="00E97424">
          <w:rPr>
            <w:rStyle w:val="Hyperlink"/>
            <w:sz w:val="18"/>
            <w:szCs w:val="18"/>
          </w:rPr>
          <w:t>https://zoek.officielebekendmakingen.nl/kst-21501-02-GM.pdf</w:t>
        </w:r>
      </w:hyperlink>
      <w:r w:rsidR="794E25B3" w:rsidRPr="00E97424">
        <w:rPr>
          <w:sz w:val="18"/>
          <w:szCs w:val="18"/>
        </w:rPr>
        <w:t xml:space="preserve">.   </w:t>
      </w:r>
    </w:p>
  </w:footnote>
  <w:footnote w:id="67">
    <w:p w14:paraId="566D88B0" w14:textId="548C58B3" w:rsidR="00C17FE8" w:rsidRPr="00E97424" w:rsidRDefault="00C17FE8"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Verslag Raad Buitenlandse Zaken 24 juni 2024 (</w:t>
      </w:r>
      <w:r w:rsidR="794E25B3" w:rsidRPr="00E97424">
        <w:rPr>
          <w:i/>
          <w:iCs/>
          <w:sz w:val="18"/>
          <w:szCs w:val="18"/>
        </w:rPr>
        <w:t>Kamerstukken I</w:t>
      </w:r>
      <w:r w:rsidR="794E25B3" w:rsidRPr="00E97424">
        <w:rPr>
          <w:sz w:val="18"/>
          <w:szCs w:val="18"/>
        </w:rPr>
        <w:t xml:space="preserve"> 2023/24, 21 501-02), p. 8, te raadplegen via: </w:t>
      </w:r>
      <w:hyperlink r:id="rId37">
        <w:r w:rsidR="794E25B3" w:rsidRPr="00E97424">
          <w:rPr>
            <w:rStyle w:val="Hyperlink"/>
            <w:sz w:val="18"/>
            <w:szCs w:val="18"/>
          </w:rPr>
          <w:t>https://zoek.officielebekendmakingen.nl/kst-21501-02-GM.pdf</w:t>
        </w:r>
      </w:hyperlink>
      <w:r w:rsidR="794E25B3" w:rsidRPr="00E97424">
        <w:rPr>
          <w:sz w:val="18"/>
          <w:szCs w:val="18"/>
        </w:rPr>
        <w:t xml:space="preserve">.  </w:t>
      </w:r>
    </w:p>
  </w:footnote>
  <w:footnote w:id="68">
    <w:p w14:paraId="2EAC7335" w14:textId="18E8A1BE" w:rsidR="002F630B" w:rsidRPr="00E97424" w:rsidRDefault="002F630B" w:rsidP="00E97424">
      <w:pPr>
        <w:pStyle w:val="Voetnoottekst"/>
        <w:jc w:val="both"/>
        <w:rPr>
          <w:sz w:val="18"/>
          <w:szCs w:val="18"/>
        </w:rPr>
      </w:pPr>
      <w:r w:rsidRPr="00E97424">
        <w:rPr>
          <w:rStyle w:val="Voetnootmarkering"/>
          <w:sz w:val="18"/>
          <w:szCs w:val="18"/>
        </w:rPr>
        <w:footnoteRef/>
      </w:r>
      <w:r w:rsidRPr="00E97424">
        <w:rPr>
          <w:sz w:val="18"/>
          <w:szCs w:val="18"/>
        </w:rPr>
        <w:t xml:space="preserve"> Zie over de beoordelingsruimte van de Staat op dit terrein uitvoerig: </w:t>
      </w:r>
      <w:r w:rsidR="794E25B3" w:rsidRPr="00E97424">
        <w:rPr>
          <w:sz w:val="18"/>
          <w:szCs w:val="18"/>
        </w:rPr>
        <w:t>Parket bij de Hoge Raad 29 november 2024, ECLI:NL:PHR:2024:1279 (</w:t>
      </w:r>
      <w:r w:rsidRPr="00E97424">
        <w:rPr>
          <w:sz w:val="18"/>
          <w:szCs w:val="18"/>
        </w:rPr>
        <w:t xml:space="preserve">Conclusie </w:t>
      </w:r>
      <w:r w:rsidR="794E25B3" w:rsidRPr="00E97424">
        <w:rPr>
          <w:sz w:val="18"/>
          <w:szCs w:val="18"/>
        </w:rPr>
        <w:t xml:space="preserve">Procureur-Generaal), te raadplegen via: </w:t>
      </w:r>
      <w:hyperlink r:id="rId38" w:history="1">
        <w:r w:rsidRPr="00E97424">
          <w:rPr>
            <w:rStyle w:val="Hyperlink"/>
            <w:sz w:val="18"/>
            <w:szCs w:val="18"/>
          </w:rPr>
          <w:t>https://uitspraken.rechtspraak.nl/details?id=ECLI:NL:PHR:2024:1279</w:t>
        </w:r>
      </w:hyperlink>
      <w:r w:rsidR="794E25B3" w:rsidRPr="00E97424">
        <w:rPr>
          <w:sz w:val="18"/>
          <w:szCs w:val="18"/>
        </w:rPr>
        <w:t>.</w:t>
      </w:r>
    </w:p>
  </w:footnote>
  <w:footnote w:id="69">
    <w:p w14:paraId="2610885B" w14:textId="3B8453B0" w:rsidR="004F7E61" w:rsidRPr="00E97424" w:rsidRDefault="004F7E61"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Verslag Raad Buitenlandse Zaken 24 juni 2024 (</w:t>
      </w:r>
      <w:r w:rsidR="794E25B3" w:rsidRPr="00E97424">
        <w:rPr>
          <w:i/>
          <w:iCs/>
          <w:sz w:val="18"/>
          <w:szCs w:val="18"/>
        </w:rPr>
        <w:t>Kamerstukken I</w:t>
      </w:r>
      <w:r w:rsidR="794E25B3" w:rsidRPr="00E97424">
        <w:rPr>
          <w:sz w:val="18"/>
          <w:szCs w:val="18"/>
        </w:rPr>
        <w:t xml:space="preserve"> 2023/24, 21 501-02), p. 8, te raadplegen via: </w:t>
      </w:r>
      <w:hyperlink r:id="rId39">
        <w:r w:rsidR="794E25B3" w:rsidRPr="00E97424">
          <w:rPr>
            <w:rStyle w:val="Hyperlink"/>
            <w:sz w:val="18"/>
            <w:szCs w:val="18"/>
          </w:rPr>
          <w:t>https://zoek.officielebekendmakingen.nl/kst-21501-02-GM.pdf</w:t>
        </w:r>
      </w:hyperlink>
      <w:r w:rsidR="794E25B3" w:rsidRPr="00E97424">
        <w:rPr>
          <w:sz w:val="18"/>
          <w:szCs w:val="18"/>
        </w:rPr>
        <w:t>.</w:t>
      </w:r>
    </w:p>
  </w:footnote>
  <w:footnote w:id="70">
    <w:p w14:paraId="531299B2" w14:textId="7E05F15F" w:rsidR="00C963BE" w:rsidRPr="00E97424" w:rsidRDefault="00C963BE" w:rsidP="00C963BE">
      <w:pPr>
        <w:pStyle w:val="Voetnoottekst"/>
        <w:jc w:val="both"/>
        <w:rPr>
          <w:sz w:val="18"/>
          <w:szCs w:val="18"/>
        </w:rPr>
      </w:pPr>
      <w:r w:rsidRPr="00E97424">
        <w:rPr>
          <w:rStyle w:val="Voetnootmarkering"/>
          <w:sz w:val="18"/>
          <w:szCs w:val="18"/>
        </w:rPr>
        <w:footnoteRef/>
      </w:r>
      <w:r w:rsidRPr="00E97424">
        <w:rPr>
          <w:sz w:val="18"/>
          <w:szCs w:val="18"/>
        </w:rPr>
        <w:t xml:space="preserve"> Verslag Raad Buitenlandse Zaken 24 juni 2024 (</w:t>
      </w:r>
      <w:r w:rsidRPr="00E97424">
        <w:rPr>
          <w:i/>
          <w:iCs/>
          <w:sz w:val="18"/>
          <w:szCs w:val="18"/>
        </w:rPr>
        <w:t xml:space="preserve">Kamerstukken I </w:t>
      </w:r>
      <w:r w:rsidRPr="00E97424">
        <w:rPr>
          <w:sz w:val="18"/>
          <w:szCs w:val="18"/>
        </w:rPr>
        <w:t xml:space="preserve">2024/25,  </w:t>
      </w:r>
      <w:hyperlink r:id="rId40">
        <w:r w:rsidRPr="00E97424">
          <w:rPr>
            <w:rStyle w:val="Hyperlink"/>
            <w:sz w:val="18"/>
            <w:szCs w:val="18"/>
          </w:rPr>
          <w:t>https://zoek.officielebekendmakingen.nl/kst-21501-02-GM.html</w:t>
        </w:r>
      </w:hyperlink>
      <w:r w:rsidRPr="00E97424">
        <w:rPr>
          <w:sz w:val="18"/>
          <w:szCs w:val="18"/>
        </w:rPr>
        <w:t>.</w:t>
      </w:r>
      <w:r w:rsidR="007E11C4">
        <w:rPr>
          <w:sz w:val="18"/>
          <w:szCs w:val="18"/>
        </w:rPr>
        <w:t xml:space="preserve"> Zie ook Advies paragraaf 2.4</w:t>
      </w:r>
    </w:p>
  </w:footnote>
  <w:footnote w:id="71">
    <w:p w14:paraId="4CF92BF0" w14:textId="2CB75E5D" w:rsidR="00D23D49" w:rsidRPr="00E97424" w:rsidRDefault="00D23D49"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S. Casey-Maslen </w:t>
      </w:r>
      <w:proofErr w:type="spellStart"/>
      <w:r w:rsidRPr="00E97424">
        <w:rPr>
          <w:sz w:val="18"/>
          <w:szCs w:val="18"/>
          <w:lang w:val="en-US"/>
        </w:rPr>
        <w:t>e.a.</w:t>
      </w:r>
      <w:proofErr w:type="spellEnd"/>
      <w:r w:rsidRPr="00E97424">
        <w:rPr>
          <w:sz w:val="18"/>
          <w:szCs w:val="18"/>
          <w:lang w:val="en-US"/>
        </w:rPr>
        <w:t xml:space="preserve">, ‘General obligations and scope of application', in: G. Nystuen </w:t>
      </w:r>
      <w:proofErr w:type="spellStart"/>
      <w:r w:rsidRPr="00E97424">
        <w:rPr>
          <w:sz w:val="18"/>
          <w:szCs w:val="18"/>
          <w:lang w:val="en-US"/>
        </w:rPr>
        <w:t>en</w:t>
      </w:r>
      <w:proofErr w:type="spellEnd"/>
      <w:r w:rsidRPr="00E97424">
        <w:rPr>
          <w:sz w:val="18"/>
          <w:szCs w:val="18"/>
          <w:lang w:val="en-US"/>
        </w:rPr>
        <w:t xml:space="preserve"> S. Casey-Maslen, </w:t>
      </w:r>
      <w:r w:rsidRPr="00E97424">
        <w:rPr>
          <w:i/>
          <w:iCs/>
          <w:sz w:val="18"/>
          <w:szCs w:val="18"/>
          <w:lang w:val="en-US"/>
        </w:rPr>
        <w:t xml:space="preserve">The Convention on Cluster Munitions: A Commentary, </w:t>
      </w:r>
      <w:r w:rsidRPr="00E97424">
        <w:rPr>
          <w:sz w:val="18"/>
          <w:szCs w:val="18"/>
          <w:lang w:val="en-US"/>
        </w:rPr>
        <w:t>Oxford: Oxford University Press 2010, p. 545.</w:t>
      </w:r>
    </w:p>
  </w:footnote>
  <w:footnote w:id="72">
    <w:p w14:paraId="3E53365D" w14:textId="34D54614" w:rsidR="00531CCE" w:rsidRPr="00531CCE" w:rsidRDefault="00531CCE">
      <w:pPr>
        <w:pStyle w:val="Voetnoottekst"/>
      </w:pPr>
      <w:r>
        <w:rPr>
          <w:rStyle w:val="Voetnootmarkering"/>
        </w:rPr>
        <w:footnoteRef/>
      </w:r>
      <w:r w:rsidRPr="00531CCE">
        <w:t xml:space="preserve"> </w:t>
      </w:r>
      <w:r w:rsidRPr="0075166B">
        <w:rPr>
          <w:sz w:val="18"/>
          <w:szCs w:val="18"/>
        </w:rPr>
        <w:t xml:space="preserve">In hoeverre de GC beogen </w:t>
      </w:r>
      <w:proofErr w:type="spellStart"/>
      <w:r w:rsidRPr="0075166B">
        <w:rPr>
          <w:sz w:val="18"/>
          <w:szCs w:val="18"/>
        </w:rPr>
        <w:t>Oekrainse</w:t>
      </w:r>
      <w:proofErr w:type="spellEnd"/>
      <w:r w:rsidRPr="0075166B">
        <w:rPr>
          <w:sz w:val="18"/>
          <w:szCs w:val="18"/>
        </w:rPr>
        <w:t xml:space="preserve"> burgers, </w:t>
      </w:r>
      <w:r w:rsidR="001A60CE" w:rsidRPr="001A60CE">
        <w:rPr>
          <w:sz w:val="18"/>
          <w:szCs w:val="18"/>
        </w:rPr>
        <w:t xml:space="preserve">al dan niet </w:t>
      </w:r>
      <w:r w:rsidR="001A60CE">
        <w:rPr>
          <w:sz w:val="18"/>
          <w:szCs w:val="18"/>
        </w:rPr>
        <w:t xml:space="preserve">woonachtig </w:t>
      </w:r>
      <w:r w:rsidRPr="0075166B">
        <w:rPr>
          <w:sz w:val="18"/>
          <w:szCs w:val="18"/>
        </w:rPr>
        <w:t xml:space="preserve">in bezet gebied, te beschermen tegen oorlogshandelingen van </w:t>
      </w:r>
      <w:proofErr w:type="spellStart"/>
      <w:r w:rsidRPr="0075166B">
        <w:rPr>
          <w:sz w:val="18"/>
          <w:szCs w:val="18"/>
        </w:rPr>
        <w:t>Oekraine</w:t>
      </w:r>
      <w:proofErr w:type="spellEnd"/>
      <w:r w:rsidRPr="0075166B">
        <w:rPr>
          <w:sz w:val="18"/>
          <w:szCs w:val="18"/>
        </w:rPr>
        <w:t>, is een complexe vraag waarvoor dit advies geen ruimte biedt.</w:t>
      </w:r>
      <w:r>
        <w:t xml:space="preserve"> </w:t>
      </w:r>
    </w:p>
  </w:footnote>
  <w:footnote w:id="73">
    <w:p w14:paraId="2A073635" w14:textId="71A7DB96" w:rsidR="002A64E5" w:rsidRPr="00E97424" w:rsidRDefault="002A64E5" w:rsidP="00E97424">
      <w:pPr>
        <w:pStyle w:val="Voetnoottekst"/>
        <w:jc w:val="both"/>
        <w:rPr>
          <w:sz w:val="18"/>
          <w:szCs w:val="18"/>
          <w:lang w:val="en-US"/>
        </w:rPr>
      </w:pPr>
      <w:r w:rsidRPr="00E97424">
        <w:rPr>
          <w:rStyle w:val="Voetnootmarkering"/>
          <w:sz w:val="18"/>
          <w:szCs w:val="18"/>
          <w:lang w:val="en-US"/>
        </w:rPr>
        <w:footnoteRef/>
      </w:r>
      <w:r w:rsidRPr="00E97424">
        <w:rPr>
          <w:sz w:val="18"/>
          <w:szCs w:val="18"/>
          <w:lang w:val="en-US"/>
        </w:rPr>
        <w:t xml:space="preserve"> K. </w:t>
      </w:r>
      <w:proofErr w:type="spellStart"/>
      <w:r w:rsidRPr="00E97424">
        <w:rPr>
          <w:sz w:val="18"/>
          <w:szCs w:val="18"/>
          <w:lang w:val="en-US"/>
        </w:rPr>
        <w:t>Dörmann</w:t>
      </w:r>
      <w:proofErr w:type="spellEnd"/>
      <w:r w:rsidRPr="00E97424">
        <w:rPr>
          <w:sz w:val="18"/>
          <w:szCs w:val="18"/>
          <w:lang w:val="en-US"/>
        </w:rPr>
        <w:t xml:space="preserve"> and J. </w:t>
      </w:r>
      <w:proofErr w:type="spellStart"/>
      <w:r w:rsidRPr="00E97424">
        <w:rPr>
          <w:sz w:val="18"/>
          <w:szCs w:val="18"/>
          <w:lang w:val="en-US"/>
        </w:rPr>
        <w:t>Serralvo</w:t>
      </w:r>
      <w:proofErr w:type="spellEnd"/>
      <w:r w:rsidRPr="00E97424">
        <w:rPr>
          <w:sz w:val="18"/>
          <w:szCs w:val="18"/>
          <w:lang w:val="en-US"/>
        </w:rPr>
        <w:t xml:space="preserve">, </w:t>
      </w:r>
      <w:r w:rsidR="794E25B3" w:rsidRPr="00E97424">
        <w:rPr>
          <w:sz w:val="18"/>
          <w:szCs w:val="18"/>
          <w:lang w:val="en-US"/>
        </w:rPr>
        <w:t>‘Common</w:t>
      </w:r>
      <w:r w:rsidRPr="00E97424">
        <w:rPr>
          <w:sz w:val="18"/>
          <w:szCs w:val="18"/>
          <w:lang w:val="en-US"/>
        </w:rPr>
        <w:t xml:space="preserve"> Article 1 to the Geneva Conventions and the obligation to prevent international humanitarian law violations’, </w:t>
      </w:r>
      <w:r w:rsidRPr="00E97424">
        <w:rPr>
          <w:i/>
          <w:iCs/>
          <w:sz w:val="18"/>
          <w:szCs w:val="18"/>
          <w:lang w:val="en-US"/>
        </w:rPr>
        <w:t>International Review of the Red Cross</w:t>
      </w:r>
      <w:r w:rsidRPr="00E97424">
        <w:rPr>
          <w:sz w:val="18"/>
          <w:szCs w:val="18"/>
          <w:lang w:val="en-US"/>
        </w:rPr>
        <w:t xml:space="preserve"> 2014, 96 (895/896), p. 709.</w:t>
      </w:r>
    </w:p>
  </w:footnote>
  <w:footnote w:id="74">
    <w:p w14:paraId="71B76618"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K. </w:t>
      </w:r>
      <w:proofErr w:type="spellStart"/>
      <w:r w:rsidRPr="00E97424">
        <w:rPr>
          <w:sz w:val="18"/>
          <w:szCs w:val="18"/>
          <w:lang w:val="en-US"/>
        </w:rPr>
        <w:t>Dörmann</w:t>
      </w:r>
      <w:proofErr w:type="spellEnd"/>
      <w:r w:rsidRPr="00E97424">
        <w:rPr>
          <w:sz w:val="18"/>
          <w:szCs w:val="18"/>
          <w:lang w:val="en-US"/>
        </w:rPr>
        <w:t xml:space="preserve"> and J. </w:t>
      </w:r>
      <w:proofErr w:type="spellStart"/>
      <w:r w:rsidRPr="00E97424">
        <w:rPr>
          <w:sz w:val="18"/>
          <w:szCs w:val="18"/>
          <w:lang w:val="en-US"/>
        </w:rPr>
        <w:t>Serralvo</w:t>
      </w:r>
      <w:proofErr w:type="spellEnd"/>
      <w:r w:rsidRPr="00E97424">
        <w:rPr>
          <w:sz w:val="18"/>
          <w:szCs w:val="18"/>
          <w:lang w:val="en-US"/>
        </w:rPr>
        <w:t xml:space="preserve">, ’Common Article 1 to the Geneva Conventions and the obligation to prevent international humanitarian law violations’, </w:t>
      </w:r>
      <w:r w:rsidRPr="00E97424">
        <w:rPr>
          <w:i/>
          <w:iCs/>
          <w:sz w:val="18"/>
          <w:szCs w:val="18"/>
          <w:lang w:val="en-US"/>
        </w:rPr>
        <w:t>International Review of the Red Cross</w:t>
      </w:r>
      <w:r w:rsidRPr="00E97424">
        <w:rPr>
          <w:sz w:val="18"/>
          <w:szCs w:val="18"/>
          <w:lang w:val="en-US"/>
        </w:rPr>
        <w:t xml:space="preserve"> 2014, 96 (895/896), p. 715.</w:t>
      </w:r>
    </w:p>
  </w:footnote>
  <w:footnote w:id="75">
    <w:p w14:paraId="23D49491" w14:textId="77777777" w:rsidR="002A64E5" w:rsidRPr="00E97424" w:rsidRDefault="002A64E5" w:rsidP="00E97424">
      <w:pPr>
        <w:pStyle w:val="Voetnoottekst"/>
        <w:jc w:val="both"/>
        <w:rPr>
          <w:sz w:val="18"/>
          <w:szCs w:val="18"/>
          <w:lang w:val="en-US"/>
        </w:rPr>
      </w:pPr>
      <w:r w:rsidRPr="00E97424">
        <w:rPr>
          <w:rStyle w:val="Voetnootmarkering"/>
          <w:sz w:val="18"/>
          <w:szCs w:val="18"/>
          <w:lang w:val="en-US"/>
        </w:rPr>
        <w:footnoteRef/>
      </w:r>
      <w:r w:rsidRPr="00E97424">
        <w:rPr>
          <w:sz w:val="18"/>
          <w:szCs w:val="18"/>
          <w:lang w:val="en-US"/>
        </w:rPr>
        <w:t xml:space="preserve"> IGH, Military and Paramilitary Activities in and against Nicaragua (</w:t>
      </w:r>
      <w:r w:rsidRPr="00E97424">
        <w:rPr>
          <w:i/>
          <w:sz w:val="18"/>
          <w:szCs w:val="18"/>
          <w:lang w:val="en-US"/>
        </w:rPr>
        <w:t>Nicaragua v. United States of America</w:t>
      </w:r>
      <w:r w:rsidRPr="00E97424">
        <w:rPr>
          <w:sz w:val="18"/>
          <w:szCs w:val="18"/>
          <w:lang w:val="en-US"/>
        </w:rPr>
        <w:t xml:space="preserve">), Judgment (Merits), 27 </w:t>
      </w:r>
      <w:proofErr w:type="spellStart"/>
      <w:r w:rsidRPr="00E97424">
        <w:rPr>
          <w:sz w:val="18"/>
          <w:szCs w:val="18"/>
          <w:lang w:val="en-US"/>
        </w:rPr>
        <w:t>juni</w:t>
      </w:r>
      <w:proofErr w:type="spellEnd"/>
      <w:r w:rsidRPr="00E97424">
        <w:rPr>
          <w:sz w:val="18"/>
          <w:szCs w:val="18"/>
          <w:lang w:val="en-US"/>
        </w:rPr>
        <w:t xml:space="preserve"> 1986, </w:t>
      </w:r>
      <w:proofErr w:type="spellStart"/>
      <w:r w:rsidRPr="00E97424">
        <w:rPr>
          <w:sz w:val="18"/>
          <w:szCs w:val="18"/>
          <w:lang w:val="en-US"/>
        </w:rPr>
        <w:t>rov</w:t>
      </w:r>
      <w:proofErr w:type="spellEnd"/>
      <w:r w:rsidRPr="00E97424">
        <w:rPr>
          <w:sz w:val="18"/>
          <w:szCs w:val="18"/>
          <w:lang w:val="en-US"/>
        </w:rPr>
        <w:t>. 220.</w:t>
      </w:r>
    </w:p>
  </w:footnote>
  <w:footnote w:id="76">
    <w:p w14:paraId="2D543D3E" w14:textId="77777777" w:rsidR="002A64E5" w:rsidRPr="00E97424" w:rsidRDefault="002A64E5" w:rsidP="00E97424">
      <w:pPr>
        <w:pStyle w:val="Voetnoottekst"/>
        <w:jc w:val="both"/>
        <w:rPr>
          <w:sz w:val="18"/>
          <w:szCs w:val="18"/>
          <w:lang w:val="en-US"/>
        </w:rPr>
      </w:pPr>
      <w:r w:rsidRPr="00E97424">
        <w:rPr>
          <w:rStyle w:val="Voetnootmarkering"/>
          <w:sz w:val="18"/>
          <w:szCs w:val="18"/>
          <w:lang w:val="en-US"/>
        </w:rPr>
        <w:footnoteRef/>
      </w:r>
      <w:r w:rsidRPr="00E97424">
        <w:rPr>
          <w:sz w:val="18"/>
          <w:szCs w:val="18"/>
          <w:lang w:val="en-US"/>
        </w:rPr>
        <w:t xml:space="preserve"> IGH, Legal Consequences of the Construction of a Wall in the Occupied Palestinian Territory, Advisory Opinion, 9 </w:t>
      </w:r>
      <w:proofErr w:type="spellStart"/>
      <w:r w:rsidRPr="00E97424">
        <w:rPr>
          <w:sz w:val="18"/>
          <w:szCs w:val="18"/>
          <w:lang w:val="en-US"/>
        </w:rPr>
        <w:t>juli</w:t>
      </w:r>
      <w:proofErr w:type="spellEnd"/>
      <w:r w:rsidRPr="00E97424">
        <w:rPr>
          <w:sz w:val="18"/>
          <w:szCs w:val="18"/>
          <w:lang w:val="en-US"/>
        </w:rPr>
        <w:t xml:space="preserve"> 2004, </w:t>
      </w:r>
      <w:proofErr w:type="spellStart"/>
      <w:r w:rsidRPr="00E97424">
        <w:rPr>
          <w:sz w:val="18"/>
          <w:szCs w:val="18"/>
          <w:lang w:val="en-US"/>
        </w:rPr>
        <w:t>rov</w:t>
      </w:r>
      <w:proofErr w:type="spellEnd"/>
      <w:r w:rsidRPr="00E97424">
        <w:rPr>
          <w:sz w:val="18"/>
          <w:szCs w:val="18"/>
          <w:lang w:val="en-US"/>
        </w:rPr>
        <w:t>. 158</w:t>
      </w:r>
    </w:p>
  </w:footnote>
  <w:footnote w:id="77">
    <w:p w14:paraId="13BE40B4"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K. </w:t>
      </w:r>
      <w:proofErr w:type="spellStart"/>
      <w:r w:rsidRPr="00E97424">
        <w:rPr>
          <w:sz w:val="18"/>
          <w:szCs w:val="18"/>
          <w:lang w:val="en-US"/>
        </w:rPr>
        <w:t>Dörmann</w:t>
      </w:r>
      <w:proofErr w:type="spellEnd"/>
      <w:r w:rsidRPr="00E97424">
        <w:rPr>
          <w:sz w:val="18"/>
          <w:szCs w:val="18"/>
          <w:lang w:val="en-US"/>
        </w:rPr>
        <w:t xml:space="preserve"> and J. </w:t>
      </w:r>
      <w:proofErr w:type="spellStart"/>
      <w:r w:rsidRPr="00E97424">
        <w:rPr>
          <w:sz w:val="18"/>
          <w:szCs w:val="18"/>
          <w:lang w:val="en-US"/>
        </w:rPr>
        <w:t>Serralvo</w:t>
      </w:r>
      <w:proofErr w:type="spellEnd"/>
      <w:r w:rsidRPr="00E97424">
        <w:rPr>
          <w:sz w:val="18"/>
          <w:szCs w:val="18"/>
          <w:lang w:val="en-US"/>
        </w:rPr>
        <w:t xml:space="preserve">, ’Common Article 1 to the Geneva Conventions and the obligation to prevent international humanitarian law violations’, </w:t>
      </w:r>
      <w:r w:rsidRPr="00E97424">
        <w:rPr>
          <w:i/>
          <w:iCs/>
          <w:sz w:val="18"/>
          <w:szCs w:val="18"/>
          <w:lang w:val="en-US"/>
        </w:rPr>
        <w:t>International Review of the Red Cross</w:t>
      </w:r>
      <w:r w:rsidRPr="00E97424">
        <w:rPr>
          <w:sz w:val="18"/>
          <w:szCs w:val="18"/>
          <w:lang w:val="en-US"/>
        </w:rPr>
        <w:t xml:space="preserve"> 2014, 96 (895/896), p. 717.</w:t>
      </w:r>
    </w:p>
  </w:footnote>
  <w:footnote w:id="78">
    <w:p w14:paraId="04C4F051" w14:textId="77777777" w:rsidR="002A64E5" w:rsidRPr="00E97424" w:rsidRDefault="002A64E5" w:rsidP="00E97424">
      <w:pPr>
        <w:pStyle w:val="Voetnoottekst"/>
        <w:jc w:val="both"/>
        <w:rPr>
          <w:sz w:val="18"/>
          <w:szCs w:val="18"/>
          <w:lang w:val="en-US"/>
        </w:rPr>
      </w:pPr>
      <w:r w:rsidRPr="00E97424">
        <w:rPr>
          <w:rStyle w:val="Voetnootmarkering"/>
          <w:sz w:val="18"/>
          <w:szCs w:val="18"/>
          <w:lang w:val="en-US"/>
        </w:rPr>
        <w:footnoteRef/>
      </w:r>
      <w:r w:rsidRPr="00E97424">
        <w:rPr>
          <w:sz w:val="18"/>
          <w:szCs w:val="18"/>
          <w:lang w:val="en-US"/>
        </w:rPr>
        <w:t xml:space="preserve"> IGH 30 </w:t>
      </w:r>
      <w:proofErr w:type="spellStart"/>
      <w:r w:rsidRPr="00E97424">
        <w:rPr>
          <w:sz w:val="18"/>
          <w:szCs w:val="18"/>
          <w:lang w:val="en-US"/>
        </w:rPr>
        <w:t>april</w:t>
      </w:r>
      <w:proofErr w:type="spellEnd"/>
      <w:r w:rsidRPr="00E97424">
        <w:rPr>
          <w:sz w:val="18"/>
          <w:szCs w:val="18"/>
          <w:lang w:val="en-US"/>
        </w:rPr>
        <w:t xml:space="preserve"> 2024, Alleged breaches of certain international obligations in respect of the Occupied Palestinian Territory (</w:t>
      </w:r>
      <w:r w:rsidRPr="00E97424">
        <w:rPr>
          <w:i/>
          <w:sz w:val="18"/>
          <w:szCs w:val="18"/>
          <w:lang w:val="en-US"/>
        </w:rPr>
        <w:t>Nicaragua v. Germany</w:t>
      </w:r>
      <w:r w:rsidRPr="00E97424">
        <w:rPr>
          <w:sz w:val="18"/>
          <w:szCs w:val="18"/>
          <w:lang w:val="en-US"/>
        </w:rPr>
        <w:t xml:space="preserve">), </w:t>
      </w:r>
      <w:proofErr w:type="spellStart"/>
      <w:r w:rsidRPr="00E97424">
        <w:rPr>
          <w:sz w:val="18"/>
          <w:szCs w:val="18"/>
          <w:lang w:val="en-US"/>
        </w:rPr>
        <w:t>rov</w:t>
      </w:r>
      <w:proofErr w:type="spellEnd"/>
      <w:r w:rsidRPr="00E97424">
        <w:rPr>
          <w:sz w:val="18"/>
          <w:szCs w:val="18"/>
          <w:lang w:val="en-US"/>
        </w:rPr>
        <w:t>. 23.</w:t>
      </w:r>
    </w:p>
  </w:footnote>
  <w:footnote w:id="79">
    <w:p w14:paraId="12440C60"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IGH 30 </w:t>
      </w:r>
      <w:proofErr w:type="spellStart"/>
      <w:r w:rsidRPr="00E97424">
        <w:rPr>
          <w:sz w:val="18"/>
          <w:szCs w:val="18"/>
          <w:lang w:val="en-US"/>
        </w:rPr>
        <w:t>april</w:t>
      </w:r>
      <w:proofErr w:type="spellEnd"/>
      <w:r w:rsidRPr="00E97424">
        <w:rPr>
          <w:sz w:val="18"/>
          <w:szCs w:val="18"/>
          <w:lang w:val="en-US"/>
        </w:rPr>
        <w:t xml:space="preserve"> 2024, Alleged breaches of certain international obligations in respect of the Occupied Palestinian Territory (</w:t>
      </w:r>
      <w:r w:rsidRPr="00E97424">
        <w:rPr>
          <w:i/>
          <w:sz w:val="18"/>
          <w:szCs w:val="18"/>
          <w:lang w:val="en-US"/>
        </w:rPr>
        <w:t>Nicaragua v. Germany</w:t>
      </w:r>
      <w:r w:rsidRPr="00E97424">
        <w:rPr>
          <w:sz w:val="18"/>
          <w:szCs w:val="18"/>
          <w:lang w:val="en-US"/>
        </w:rPr>
        <w:t xml:space="preserve">), </w:t>
      </w:r>
      <w:proofErr w:type="spellStart"/>
      <w:r w:rsidRPr="00E97424">
        <w:rPr>
          <w:sz w:val="18"/>
          <w:szCs w:val="18"/>
          <w:lang w:val="en-US"/>
        </w:rPr>
        <w:t>rov</w:t>
      </w:r>
      <w:proofErr w:type="spellEnd"/>
      <w:r w:rsidRPr="00E97424">
        <w:rPr>
          <w:sz w:val="18"/>
          <w:szCs w:val="18"/>
          <w:lang w:val="en-US"/>
        </w:rPr>
        <w:t>. 23.</w:t>
      </w:r>
    </w:p>
  </w:footnote>
  <w:footnote w:id="80">
    <w:p w14:paraId="579B7426"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IGH 30 </w:t>
      </w:r>
      <w:proofErr w:type="spellStart"/>
      <w:r w:rsidRPr="00E97424">
        <w:rPr>
          <w:sz w:val="18"/>
          <w:szCs w:val="18"/>
          <w:lang w:val="en-US"/>
        </w:rPr>
        <w:t>april</w:t>
      </w:r>
      <w:proofErr w:type="spellEnd"/>
      <w:r w:rsidRPr="00E97424">
        <w:rPr>
          <w:sz w:val="18"/>
          <w:szCs w:val="18"/>
          <w:lang w:val="en-US"/>
        </w:rPr>
        <w:t xml:space="preserve"> 2024, Alleged breaches of certain international obligations in respect of the Occupied Palestinian Territory (</w:t>
      </w:r>
      <w:r w:rsidRPr="00E97424">
        <w:rPr>
          <w:i/>
          <w:sz w:val="18"/>
          <w:szCs w:val="18"/>
          <w:lang w:val="en-US"/>
        </w:rPr>
        <w:t>Nicaragua v. Germany</w:t>
      </w:r>
      <w:r w:rsidRPr="00E97424">
        <w:rPr>
          <w:sz w:val="18"/>
          <w:szCs w:val="18"/>
          <w:lang w:val="en-US"/>
        </w:rPr>
        <w:t xml:space="preserve">), </w:t>
      </w:r>
      <w:proofErr w:type="spellStart"/>
      <w:r w:rsidRPr="00E97424">
        <w:rPr>
          <w:sz w:val="18"/>
          <w:szCs w:val="18"/>
          <w:lang w:val="en-US"/>
        </w:rPr>
        <w:t>rov</w:t>
      </w:r>
      <w:proofErr w:type="spellEnd"/>
      <w:r w:rsidRPr="00E97424">
        <w:rPr>
          <w:sz w:val="18"/>
          <w:szCs w:val="18"/>
          <w:lang w:val="en-US"/>
        </w:rPr>
        <w:t>. 24.</w:t>
      </w:r>
    </w:p>
  </w:footnote>
  <w:footnote w:id="81">
    <w:p w14:paraId="39EED157" w14:textId="3F693761" w:rsidR="00D5038E" w:rsidRPr="00E97424" w:rsidRDefault="00D5038E" w:rsidP="00E97424">
      <w:pPr>
        <w:pStyle w:val="Voetnoottekst"/>
        <w:jc w:val="both"/>
        <w:rPr>
          <w:sz w:val="18"/>
          <w:szCs w:val="18"/>
        </w:rPr>
      </w:pPr>
      <w:r w:rsidRPr="00E97424">
        <w:rPr>
          <w:rStyle w:val="Voetnootmarkering"/>
          <w:sz w:val="18"/>
          <w:szCs w:val="18"/>
        </w:rPr>
        <w:footnoteRef/>
      </w:r>
      <w:r w:rsidR="794E25B3" w:rsidRPr="00E97424">
        <w:rPr>
          <w:sz w:val="18"/>
          <w:szCs w:val="18"/>
        </w:rPr>
        <w:t xml:space="preserve"> Parket bij de Hoge Raad 29 november 2024, ECLI:NL:PHR:2024:1279 (Conclusie Procureur-Generaal), </w:t>
      </w:r>
      <w:proofErr w:type="spellStart"/>
      <w:r w:rsidR="794E25B3" w:rsidRPr="00E97424">
        <w:rPr>
          <w:sz w:val="18"/>
          <w:szCs w:val="18"/>
        </w:rPr>
        <w:t>rov</w:t>
      </w:r>
      <w:proofErr w:type="spellEnd"/>
      <w:r w:rsidR="794E25B3" w:rsidRPr="00E97424">
        <w:rPr>
          <w:sz w:val="18"/>
          <w:szCs w:val="18"/>
        </w:rPr>
        <w:t xml:space="preserve">. 5.21 en 5.41, te raadplegen via: </w:t>
      </w:r>
      <w:hyperlink r:id="rId41" w:history="1">
        <w:r w:rsidRPr="00E97424">
          <w:rPr>
            <w:rStyle w:val="Hyperlink"/>
            <w:sz w:val="18"/>
            <w:szCs w:val="18"/>
          </w:rPr>
          <w:t>https://uitspraken.rechtspraak.nl/details?id=ECLI:NL:PHR:2024:1279</w:t>
        </w:r>
      </w:hyperlink>
      <w:r w:rsidR="794E25B3" w:rsidRPr="00E97424">
        <w:rPr>
          <w:sz w:val="18"/>
          <w:szCs w:val="18"/>
        </w:rPr>
        <w:t>.</w:t>
      </w:r>
    </w:p>
  </w:footnote>
  <w:footnote w:id="82">
    <w:p w14:paraId="01C3B544"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IGH, Military and Paramilitary Activities in and against Nicaragua (</w:t>
      </w:r>
      <w:r w:rsidRPr="00E97424">
        <w:rPr>
          <w:i/>
          <w:sz w:val="18"/>
          <w:szCs w:val="18"/>
          <w:lang w:val="en-US"/>
        </w:rPr>
        <w:t>Nicaragua v. United States of America</w:t>
      </w:r>
      <w:r w:rsidRPr="00E97424">
        <w:rPr>
          <w:sz w:val="18"/>
          <w:szCs w:val="18"/>
          <w:lang w:val="en-US"/>
        </w:rPr>
        <w:t xml:space="preserve">), Judgment (Merits), 27 </w:t>
      </w:r>
      <w:proofErr w:type="spellStart"/>
      <w:r w:rsidRPr="00E97424">
        <w:rPr>
          <w:sz w:val="18"/>
          <w:szCs w:val="18"/>
          <w:lang w:val="en-US"/>
        </w:rPr>
        <w:t>juni</w:t>
      </w:r>
      <w:proofErr w:type="spellEnd"/>
      <w:r w:rsidRPr="00E97424">
        <w:rPr>
          <w:sz w:val="18"/>
          <w:szCs w:val="18"/>
          <w:lang w:val="en-US"/>
        </w:rPr>
        <w:t xml:space="preserve"> 1986, </w:t>
      </w:r>
      <w:proofErr w:type="spellStart"/>
      <w:r w:rsidRPr="00E97424">
        <w:rPr>
          <w:sz w:val="18"/>
          <w:szCs w:val="18"/>
          <w:lang w:val="en-US"/>
        </w:rPr>
        <w:t>rov</w:t>
      </w:r>
      <w:proofErr w:type="spellEnd"/>
      <w:r w:rsidRPr="00E97424">
        <w:rPr>
          <w:sz w:val="18"/>
          <w:szCs w:val="18"/>
          <w:lang w:val="en-US"/>
        </w:rPr>
        <w:t xml:space="preserve">. 220; K. </w:t>
      </w:r>
      <w:proofErr w:type="spellStart"/>
      <w:r w:rsidRPr="00E97424">
        <w:rPr>
          <w:sz w:val="18"/>
          <w:szCs w:val="18"/>
          <w:lang w:val="en-US"/>
        </w:rPr>
        <w:t>Dörmann</w:t>
      </w:r>
      <w:proofErr w:type="spellEnd"/>
      <w:r w:rsidRPr="00E97424">
        <w:rPr>
          <w:sz w:val="18"/>
          <w:szCs w:val="18"/>
          <w:lang w:val="en-US"/>
        </w:rPr>
        <w:t xml:space="preserve"> and J. </w:t>
      </w:r>
      <w:proofErr w:type="spellStart"/>
      <w:r w:rsidRPr="00E97424">
        <w:rPr>
          <w:sz w:val="18"/>
          <w:szCs w:val="18"/>
          <w:lang w:val="en-US"/>
        </w:rPr>
        <w:t>Serralvo</w:t>
      </w:r>
      <w:proofErr w:type="spellEnd"/>
      <w:r w:rsidRPr="00E97424">
        <w:rPr>
          <w:sz w:val="18"/>
          <w:szCs w:val="18"/>
          <w:lang w:val="en-US"/>
        </w:rPr>
        <w:t xml:space="preserve">, ’Common Article 1 to the Geneva Conventions and the obligation to prevent international humanitarian law violations’, </w:t>
      </w:r>
      <w:r w:rsidRPr="00E97424">
        <w:rPr>
          <w:i/>
          <w:iCs/>
          <w:sz w:val="18"/>
          <w:szCs w:val="18"/>
          <w:lang w:val="en-US"/>
        </w:rPr>
        <w:t>International Review of the Red Cross</w:t>
      </w:r>
      <w:r w:rsidRPr="00E97424">
        <w:rPr>
          <w:sz w:val="18"/>
          <w:szCs w:val="18"/>
          <w:lang w:val="en-US"/>
        </w:rPr>
        <w:t xml:space="preserve"> 2014, 96 (895/896), p. 723.</w:t>
      </w:r>
    </w:p>
  </w:footnote>
  <w:footnote w:id="83">
    <w:p w14:paraId="4C0DB4EA"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K. </w:t>
      </w:r>
      <w:proofErr w:type="spellStart"/>
      <w:r w:rsidRPr="00E97424">
        <w:rPr>
          <w:sz w:val="18"/>
          <w:szCs w:val="18"/>
          <w:lang w:val="en-US"/>
        </w:rPr>
        <w:t>Dörmann</w:t>
      </w:r>
      <w:proofErr w:type="spellEnd"/>
      <w:r w:rsidRPr="00E97424">
        <w:rPr>
          <w:sz w:val="18"/>
          <w:szCs w:val="18"/>
          <w:lang w:val="en-US"/>
        </w:rPr>
        <w:t xml:space="preserve"> and J. </w:t>
      </w:r>
      <w:proofErr w:type="spellStart"/>
      <w:r w:rsidRPr="00E97424">
        <w:rPr>
          <w:sz w:val="18"/>
          <w:szCs w:val="18"/>
          <w:lang w:val="en-US"/>
        </w:rPr>
        <w:t>Serralvo</w:t>
      </w:r>
      <w:proofErr w:type="spellEnd"/>
      <w:r w:rsidRPr="00E97424">
        <w:rPr>
          <w:sz w:val="18"/>
          <w:szCs w:val="18"/>
          <w:lang w:val="en-US"/>
        </w:rPr>
        <w:t xml:space="preserve">, ’Common Article 1 to the Geneva Conventions and the obligation to prevent international humanitarian law violations’, </w:t>
      </w:r>
      <w:r w:rsidRPr="00E97424">
        <w:rPr>
          <w:i/>
          <w:iCs/>
          <w:sz w:val="18"/>
          <w:szCs w:val="18"/>
          <w:lang w:val="en-US"/>
        </w:rPr>
        <w:t>International Review of the Red Cross</w:t>
      </w:r>
      <w:r w:rsidRPr="00E97424">
        <w:rPr>
          <w:sz w:val="18"/>
          <w:szCs w:val="18"/>
          <w:lang w:val="en-US"/>
        </w:rPr>
        <w:t xml:space="preserve"> 2014, 96 (895/896), p. 724.</w:t>
      </w:r>
    </w:p>
  </w:footnote>
  <w:footnote w:id="84">
    <w:p w14:paraId="44E24C3A"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K. </w:t>
      </w:r>
      <w:proofErr w:type="spellStart"/>
      <w:r w:rsidRPr="00E97424">
        <w:rPr>
          <w:sz w:val="18"/>
          <w:szCs w:val="18"/>
          <w:lang w:val="en-US"/>
        </w:rPr>
        <w:t>Dörmann</w:t>
      </w:r>
      <w:proofErr w:type="spellEnd"/>
      <w:r w:rsidRPr="00E97424">
        <w:rPr>
          <w:sz w:val="18"/>
          <w:szCs w:val="18"/>
          <w:lang w:val="en-US"/>
        </w:rPr>
        <w:t xml:space="preserve"> and J. </w:t>
      </w:r>
      <w:proofErr w:type="spellStart"/>
      <w:r w:rsidRPr="00E97424">
        <w:rPr>
          <w:sz w:val="18"/>
          <w:szCs w:val="18"/>
          <w:lang w:val="en-US"/>
        </w:rPr>
        <w:t>Serralvo</w:t>
      </w:r>
      <w:proofErr w:type="spellEnd"/>
      <w:r w:rsidRPr="00E97424">
        <w:rPr>
          <w:sz w:val="18"/>
          <w:szCs w:val="18"/>
          <w:lang w:val="en-US"/>
        </w:rPr>
        <w:t xml:space="preserve">, ’Common Article 1 to the Geneva Conventions and the obligation to prevent international humanitarian law violations’, </w:t>
      </w:r>
      <w:r w:rsidRPr="00E97424">
        <w:rPr>
          <w:i/>
          <w:iCs/>
          <w:sz w:val="18"/>
          <w:szCs w:val="18"/>
          <w:lang w:val="en-US"/>
        </w:rPr>
        <w:t>International Review of the Red Cross</w:t>
      </w:r>
      <w:r w:rsidRPr="00E97424">
        <w:rPr>
          <w:sz w:val="18"/>
          <w:szCs w:val="18"/>
          <w:lang w:val="en-US"/>
        </w:rPr>
        <w:t xml:space="preserve"> 2014, 96 (895/896), p. 725.</w:t>
      </w:r>
    </w:p>
  </w:footnote>
  <w:footnote w:id="85">
    <w:p w14:paraId="38932809"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B. Kessler, ’The Duty to ‘Ensure Respect’ under Common Article 1 of the Geneva Conventions: Its Implications on International and Non-International Armed Conflicts’, </w:t>
      </w:r>
      <w:r w:rsidRPr="00E97424">
        <w:rPr>
          <w:i/>
          <w:iCs/>
          <w:sz w:val="18"/>
          <w:szCs w:val="18"/>
          <w:lang w:val="en-US"/>
        </w:rPr>
        <w:t xml:space="preserve">German Yearbook of International Law </w:t>
      </w:r>
      <w:r w:rsidRPr="00E97424">
        <w:rPr>
          <w:sz w:val="18"/>
          <w:szCs w:val="18"/>
          <w:lang w:val="en-US"/>
        </w:rPr>
        <w:t>2001,</w:t>
      </w:r>
      <w:r w:rsidRPr="00E97424">
        <w:rPr>
          <w:i/>
          <w:iCs/>
          <w:sz w:val="18"/>
          <w:szCs w:val="18"/>
          <w:lang w:val="en-US"/>
        </w:rPr>
        <w:t xml:space="preserve"> </w:t>
      </w:r>
      <w:r w:rsidRPr="00E97424">
        <w:rPr>
          <w:sz w:val="18"/>
          <w:szCs w:val="18"/>
          <w:lang w:val="en-US"/>
        </w:rPr>
        <w:t>vol. 44, p. 506.</w:t>
      </w:r>
    </w:p>
  </w:footnote>
  <w:footnote w:id="86">
    <w:p w14:paraId="0073A861"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K. </w:t>
      </w:r>
      <w:proofErr w:type="spellStart"/>
      <w:r w:rsidRPr="00E97424">
        <w:rPr>
          <w:sz w:val="18"/>
          <w:szCs w:val="18"/>
          <w:lang w:val="en-US"/>
        </w:rPr>
        <w:t>Dörmann</w:t>
      </w:r>
      <w:proofErr w:type="spellEnd"/>
      <w:r w:rsidRPr="00E97424">
        <w:rPr>
          <w:sz w:val="18"/>
          <w:szCs w:val="18"/>
          <w:lang w:val="en-US"/>
        </w:rPr>
        <w:t xml:space="preserve"> and J. </w:t>
      </w:r>
      <w:proofErr w:type="spellStart"/>
      <w:r w:rsidRPr="00E97424">
        <w:rPr>
          <w:sz w:val="18"/>
          <w:szCs w:val="18"/>
          <w:lang w:val="en-US"/>
        </w:rPr>
        <w:t>Serralvo</w:t>
      </w:r>
      <w:proofErr w:type="spellEnd"/>
      <w:r w:rsidRPr="00E97424">
        <w:rPr>
          <w:sz w:val="18"/>
          <w:szCs w:val="18"/>
          <w:lang w:val="en-US"/>
        </w:rPr>
        <w:t xml:space="preserve">, ’Common Article 1 to the Geneva Conventions and the obligation to prevent international humanitarian law violations’, </w:t>
      </w:r>
      <w:r w:rsidRPr="00E97424">
        <w:rPr>
          <w:i/>
          <w:iCs/>
          <w:sz w:val="18"/>
          <w:szCs w:val="18"/>
          <w:lang w:val="en-US"/>
        </w:rPr>
        <w:t>International Review of the Red Cross</w:t>
      </w:r>
      <w:r w:rsidRPr="00E97424">
        <w:rPr>
          <w:sz w:val="18"/>
          <w:szCs w:val="18"/>
          <w:lang w:val="en-US"/>
        </w:rPr>
        <w:t xml:space="preserve"> 2014, 96 (895/896), p. 726.</w:t>
      </w:r>
    </w:p>
  </w:footnote>
  <w:footnote w:id="87">
    <w:p w14:paraId="700F532C" w14:textId="77777777" w:rsidR="002A64E5" w:rsidRPr="00E97424" w:rsidRDefault="002A64E5" w:rsidP="00E97424">
      <w:pPr>
        <w:pStyle w:val="Voetnoottekst"/>
        <w:jc w:val="both"/>
        <w:rPr>
          <w:sz w:val="18"/>
          <w:szCs w:val="18"/>
          <w:lang w:val="en-US"/>
        </w:rPr>
      </w:pPr>
      <w:r w:rsidRPr="00E97424">
        <w:rPr>
          <w:rStyle w:val="Voetnootmarkering"/>
          <w:sz w:val="18"/>
          <w:szCs w:val="18"/>
          <w:lang w:val="en-US"/>
        </w:rPr>
        <w:footnoteRef/>
      </w:r>
      <w:r w:rsidRPr="00E97424">
        <w:rPr>
          <w:sz w:val="18"/>
          <w:szCs w:val="18"/>
          <w:lang w:val="en-US"/>
        </w:rPr>
        <w:t xml:space="preserve"> J. </w:t>
      </w:r>
      <w:proofErr w:type="spellStart"/>
      <w:r w:rsidRPr="00E97424">
        <w:rPr>
          <w:sz w:val="18"/>
          <w:szCs w:val="18"/>
          <w:lang w:val="en-US"/>
        </w:rPr>
        <w:t>Henckaerts</w:t>
      </w:r>
      <w:proofErr w:type="spellEnd"/>
      <w:r w:rsidRPr="00E97424">
        <w:rPr>
          <w:sz w:val="18"/>
          <w:szCs w:val="18"/>
          <w:lang w:val="en-US"/>
        </w:rPr>
        <w:t xml:space="preserve"> </w:t>
      </w:r>
      <w:proofErr w:type="spellStart"/>
      <w:r w:rsidRPr="00E97424">
        <w:rPr>
          <w:sz w:val="18"/>
          <w:szCs w:val="18"/>
          <w:lang w:val="en-US"/>
        </w:rPr>
        <w:t>en</w:t>
      </w:r>
      <w:proofErr w:type="spellEnd"/>
      <w:r w:rsidRPr="00E97424">
        <w:rPr>
          <w:sz w:val="18"/>
          <w:szCs w:val="18"/>
          <w:lang w:val="en-US"/>
        </w:rPr>
        <w:t xml:space="preserve"> L. </w:t>
      </w:r>
      <w:proofErr w:type="spellStart"/>
      <w:r w:rsidRPr="00E97424">
        <w:rPr>
          <w:sz w:val="18"/>
          <w:szCs w:val="18"/>
          <w:lang w:val="en-US"/>
        </w:rPr>
        <w:t>DoswaldBeck</w:t>
      </w:r>
      <w:proofErr w:type="spellEnd"/>
      <w:r w:rsidRPr="00E97424">
        <w:rPr>
          <w:sz w:val="18"/>
          <w:szCs w:val="18"/>
          <w:lang w:val="en-US"/>
        </w:rPr>
        <w:t xml:space="preserve">, </w:t>
      </w:r>
      <w:r w:rsidRPr="00E97424">
        <w:rPr>
          <w:i/>
          <w:iCs/>
          <w:sz w:val="18"/>
          <w:szCs w:val="18"/>
          <w:lang w:val="en-US"/>
        </w:rPr>
        <w:t>Customary International Humanitarian Law - volume 1: Rules</w:t>
      </w:r>
      <w:r w:rsidRPr="00E97424">
        <w:rPr>
          <w:sz w:val="18"/>
          <w:szCs w:val="18"/>
          <w:lang w:val="en-US"/>
        </w:rPr>
        <w:t>, Cambridge University Press 2005, reprint 2009 (ICRC Customary Law Study), p. 509.</w:t>
      </w:r>
    </w:p>
  </w:footnote>
  <w:footnote w:id="88">
    <w:p w14:paraId="16F6B932"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K. </w:t>
      </w:r>
      <w:proofErr w:type="spellStart"/>
      <w:r w:rsidRPr="00E97424">
        <w:rPr>
          <w:sz w:val="18"/>
          <w:szCs w:val="18"/>
          <w:lang w:val="en-US"/>
        </w:rPr>
        <w:t>Dörmann</w:t>
      </w:r>
      <w:proofErr w:type="spellEnd"/>
      <w:r w:rsidRPr="00E97424">
        <w:rPr>
          <w:sz w:val="18"/>
          <w:szCs w:val="18"/>
          <w:lang w:val="en-US"/>
        </w:rPr>
        <w:t xml:space="preserve"> and J. </w:t>
      </w:r>
      <w:proofErr w:type="spellStart"/>
      <w:r w:rsidRPr="00E97424">
        <w:rPr>
          <w:sz w:val="18"/>
          <w:szCs w:val="18"/>
          <w:lang w:val="en-US"/>
        </w:rPr>
        <w:t>Serralvo</w:t>
      </w:r>
      <w:proofErr w:type="spellEnd"/>
      <w:r w:rsidRPr="00E97424">
        <w:rPr>
          <w:sz w:val="18"/>
          <w:szCs w:val="18"/>
          <w:lang w:val="en-US"/>
        </w:rPr>
        <w:t xml:space="preserve">, ’Common Article 1 to the Geneva Conventions and the obligation to prevent international humanitarian law violations’, </w:t>
      </w:r>
      <w:r w:rsidRPr="00E97424">
        <w:rPr>
          <w:i/>
          <w:iCs/>
          <w:sz w:val="18"/>
          <w:szCs w:val="18"/>
          <w:lang w:val="en-US"/>
        </w:rPr>
        <w:t>International Review of the Red Cross</w:t>
      </w:r>
      <w:r w:rsidRPr="00E97424">
        <w:rPr>
          <w:sz w:val="18"/>
          <w:szCs w:val="18"/>
          <w:lang w:val="en-US"/>
        </w:rPr>
        <w:t xml:space="preserve"> 2014, 96 (895/896), p. 728-729.</w:t>
      </w:r>
    </w:p>
  </w:footnote>
  <w:footnote w:id="89">
    <w:p w14:paraId="122B7C13" w14:textId="77777777" w:rsidR="002A64E5" w:rsidRPr="00E97424" w:rsidRDefault="002A64E5" w:rsidP="00E97424">
      <w:pPr>
        <w:pStyle w:val="Voetnoottekst"/>
        <w:jc w:val="both"/>
        <w:rPr>
          <w:sz w:val="18"/>
          <w:szCs w:val="18"/>
          <w:lang w:val="fr-FR"/>
        </w:rPr>
      </w:pPr>
      <w:r w:rsidRPr="00E97424">
        <w:rPr>
          <w:rStyle w:val="Voetnootmarkering"/>
          <w:sz w:val="18"/>
          <w:szCs w:val="18"/>
        </w:rPr>
        <w:footnoteRef/>
      </w:r>
      <w:r w:rsidRPr="00E97424">
        <w:rPr>
          <w:sz w:val="18"/>
          <w:szCs w:val="18"/>
          <w:lang w:val="fr-FR"/>
        </w:rPr>
        <w:t xml:space="preserve"> K. </w:t>
      </w:r>
      <w:proofErr w:type="spellStart"/>
      <w:r w:rsidRPr="00E97424">
        <w:rPr>
          <w:sz w:val="18"/>
          <w:szCs w:val="18"/>
          <w:lang w:val="fr-FR"/>
        </w:rPr>
        <w:t>Dörmann</w:t>
      </w:r>
      <w:proofErr w:type="spellEnd"/>
      <w:r w:rsidRPr="00E97424">
        <w:rPr>
          <w:sz w:val="18"/>
          <w:szCs w:val="18"/>
          <w:lang w:val="fr-FR"/>
        </w:rPr>
        <w:t xml:space="preserve"> and J. </w:t>
      </w:r>
      <w:proofErr w:type="spellStart"/>
      <w:r w:rsidRPr="00E97424">
        <w:rPr>
          <w:sz w:val="18"/>
          <w:szCs w:val="18"/>
          <w:lang w:val="fr-FR"/>
        </w:rPr>
        <w:t>Serralvo</w:t>
      </w:r>
      <w:proofErr w:type="spellEnd"/>
      <w:r w:rsidRPr="00E97424">
        <w:rPr>
          <w:sz w:val="18"/>
          <w:szCs w:val="18"/>
          <w:lang w:val="fr-FR"/>
        </w:rPr>
        <w:t xml:space="preserve">, ’Common Article 1 to the Geneva Conventions and the obligation to </w:t>
      </w:r>
      <w:proofErr w:type="spellStart"/>
      <w:r w:rsidRPr="00E97424">
        <w:rPr>
          <w:sz w:val="18"/>
          <w:szCs w:val="18"/>
          <w:lang w:val="fr-FR"/>
        </w:rPr>
        <w:t>prevent</w:t>
      </w:r>
      <w:proofErr w:type="spellEnd"/>
      <w:r w:rsidRPr="00E97424">
        <w:rPr>
          <w:sz w:val="18"/>
          <w:szCs w:val="18"/>
          <w:lang w:val="fr-FR"/>
        </w:rPr>
        <w:t xml:space="preserve"> international </w:t>
      </w:r>
      <w:proofErr w:type="spellStart"/>
      <w:r w:rsidRPr="00E97424">
        <w:rPr>
          <w:sz w:val="18"/>
          <w:szCs w:val="18"/>
          <w:lang w:val="fr-FR"/>
        </w:rPr>
        <w:t>humanitarian</w:t>
      </w:r>
      <w:proofErr w:type="spellEnd"/>
      <w:r w:rsidRPr="00E97424">
        <w:rPr>
          <w:sz w:val="18"/>
          <w:szCs w:val="18"/>
          <w:lang w:val="fr-FR"/>
        </w:rPr>
        <w:t xml:space="preserve"> </w:t>
      </w:r>
      <w:proofErr w:type="spellStart"/>
      <w:r w:rsidRPr="00E97424">
        <w:rPr>
          <w:sz w:val="18"/>
          <w:szCs w:val="18"/>
          <w:lang w:val="fr-FR"/>
        </w:rPr>
        <w:t>law</w:t>
      </w:r>
      <w:proofErr w:type="spellEnd"/>
      <w:r w:rsidRPr="00E97424">
        <w:rPr>
          <w:sz w:val="18"/>
          <w:szCs w:val="18"/>
          <w:lang w:val="fr-FR"/>
        </w:rPr>
        <w:t xml:space="preserve"> violations’, </w:t>
      </w:r>
      <w:r w:rsidRPr="00E97424">
        <w:rPr>
          <w:i/>
          <w:iCs/>
          <w:sz w:val="18"/>
          <w:szCs w:val="18"/>
          <w:lang w:val="fr-FR"/>
        </w:rPr>
        <w:t xml:space="preserve">International </w:t>
      </w:r>
      <w:proofErr w:type="spellStart"/>
      <w:r w:rsidRPr="00E97424">
        <w:rPr>
          <w:i/>
          <w:iCs/>
          <w:sz w:val="18"/>
          <w:szCs w:val="18"/>
          <w:lang w:val="fr-FR"/>
        </w:rPr>
        <w:t>Review</w:t>
      </w:r>
      <w:proofErr w:type="spellEnd"/>
      <w:r w:rsidRPr="00E97424">
        <w:rPr>
          <w:i/>
          <w:iCs/>
          <w:sz w:val="18"/>
          <w:szCs w:val="18"/>
          <w:lang w:val="fr-FR"/>
        </w:rPr>
        <w:t xml:space="preserve"> of the Red Cross</w:t>
      </w:r>
      <w:r w:rsidRPr="00E97424">
        <w:rPr>
          <w:sz w:val="18"/>
          <w:szCs w:val="18"/>
          <w:lang w:val="fr-FR"/>
        </w:rPr>
        <w:t xml:space="preserve"> 2014, 96 (895/896), p. 729; A. Devillard, ’L’obligation de faire respecter le droit international humanitaire: l’article 1 commun aux Conventions de Genève et à leur Premier Protocole Additionnel, fondement d’un droit international humanitaire de </w:t>
      </w:r>
      <w:proofErr w:type="spellStart"/>
      <w:r w:rsidRPr="00E97424">
        <w:rPr>
          <w:sz w:val="18"/>
          <w:szCs w:val="18"/>
          <w:lang w:val="fr-FR"/>
        </w:rPr>
        <w:t>cooperation</w:t>
      </w:r>
      <w:proofErr w:type="spellEnd"/>
      <w:r w:rsidRPr="00E97424">
        <w:rPr>
          <w:sz w:val="18"/>
          <w:szCs w:val="18"/>
          <w:lang w:val="fr-FR"/>
        </w:rPr>
        <w:t xml:space="preserve">?’, </w:t>
      </w:r>
      <w:r w:rsidRPr="00E97424">
        <w:rPr>
          <w:i/>
          <w:iCs/>
          <w:sz w:val="18"/>
          <w:szCs w:val="18"/>
          <w:lang w:val="fr-FR"/>
        </w:rPr>
        <w:t xml:space="preserve">Revue Québécoise de Droit International </w:t>
      </w:r>
      <w:r w:rsidRPr="00E97424">
        <w:rPr>
          <w:sz w:val="18"/>
          <w:szCs w:val="18"/>
          <w:lang w:val="fr-FR"/>
        </w:rPr>
        <w:t>2007,vol. 75, p. 96.</w:t>
      </w:r>
    </w:p>
  </w:footnote>
  <w:footnote w:id="90">
    <w:p w14:paraId="29438E44"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K. </w:t>
      </w:r>
      <w:proofErr w:type="spellStart"/>
      <w:r w:rsidRPr="00E97424">
        <w:rPr>
          <w:sz w:val="18"/>
          <w:szCs w:val="18"/>
          <w:lang w:val="en-US"/>
        </w:rPr>
        <w:t>Dörmann</w:t>
      </w:r>
      <w:proofErr w:type="spellEnd"/>
      <w:r w:rsidRPr="00E97424">
        <w:rPr>
          <w:sz w:val="18"/>
          <w:szCs w:val="18"/>
          <w:lang w:val="en-US"/>
        </w:rPr>
        <w:t xml:space="preserve"> and J. </w:t>
      </w:r>
      <w:proofErr w:type="spellStart"/>
      <w:r w:rsidRPr="00E97424">
        <w:rPr>
          <w:sz w:val="18"/>
          <w:szCs w:val="18"/>
          <w:lang w:val="en-US"/>
        </w:rPr>
        <w:t>Serralvo</w:t>
      </w:r>
      <w:proofErr w:type="spellEnd"/>
      <w:r w:rsidRPr="00E97424">
        <w:rPr>
          <w:sz w:val="18"/>
          <w:szCs w:val="18"/>
          <w:lang w:val="en-US"/>
        </w:rPr>
        <w:t xml:space="preserve">, ’Common Article 1 to the Geneva Conventions and the obligation to prevent international humanitarian law violations’, </w:t>
      </w:r>
      <w:r w:rsidRPr="00E97424">
        <w:rPr>
          <w:i/>
          <w:iCs/>
          <w:sz w:val="18"/>
          <w:szCs w:val="18"/>
          <w:lang w:val="en-US"/>
        </w:rPr>
        <w:t>International Review of the Red Cross</w:t>
      </w:r>
      <w:r w:rsidRPr="00E97424">
        <w:rPr>
          <w:sz w:val="18"/>
          <w:szCs w:val="18"/>
          <w:lang w:val="en-US"/>
        </w:rPr>
        <w:t xml:space="preserve"> 2014, 96 (895/896), p. 729-730.</w:t>
      </w:r>
    </w:p>
  </w:footnote>
  <w:footnote w:id="91">
    <w:p w14:paraId="50807B6A" w14:textId="77777777" w:rsidR="002A64E5" w:rsidRPr="00E97424" w:rsidRDefault="002A64E5"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’Ukraine: Civilian Deaths from Cluster Munitions - New Research Details Ukrainian Use of Widely Banned Weapon’, hrw.org, 6 </w:t>
      </w:r>
      <w:proofErr w:type="spellStart"/>
      <w:r w:rsidRPr="00E97424">
        <w:rPr>
          <w:sz w:val="18"/>
          <w:szCs w:val="18"/>
          <w:lang w:val="en-US"/>
        </w:rPr>
        <w:t>juli</w:t>
      </w:r>
      <w:proofErr w:type="spellEnd"/>
      <w:r w:rsidRPr="00E97424">
        <w:rPr>
          <w:sz w:val="18"/>
          <w:szCs w:val="18"/>
          <w:lang w:val="en-US"/>
        </w:rPr>
        <w:t xml:space="preserve"> 2023, </w:t>
      </w:r>
      <w:proofErr w:type="spellStart"/>
      <w:r w:rsidRPr="00E97424">
        <w:rPr>
          <w:sz w:val="18"/>
          <w:szCs w:val="18"/>
          <w:lang w:val="en-US"/>
        </w:rPr>
        <w:t>te</w:t>
      </w:r>
      <w:proofErr w:type="spellEnd"/>
      <w:r w:rsidRPr="00E97424">
        <w:rPr>
          <w:sz w:val="18"/>
          <w:szCs w:val="18"/>
          <w:lang w:val="en-US"/>
        </w:rPr>
        <w:t xml:space="preserve"> </w:t>
      </w:r>
      <w:proofErr w:type="spellStart"/>
      <w:r w:rsidRPr="00E97424">
        <w:rPr>
          <w:sz w:val="18"/>
          <w:szCs w:val="18"/>
          <w:lang w:val="en-US"/>
        </w:rPr>
        <w:t>raadplegen</w:t>
      </w:r>
      <w:proofErr w:type="spellEnd"/>
      <w:r w:rsidRPr="00E97424">
        <w:rPr>
          <w:sz w:val="18"/>
          <w:szCs w:val="18"/>
          <w:lang w:val="en-US"/>
        </w:rPr>
        <w:t xml:space="preserve"> via: </w:t>
      </w:r>
      <w:hyperlink r:id="rId42">
        <w:r w:rsidRPr="00E97424">
          <w:rPr>
            <w:rStyle w:val="Hyperlink"/>
            <w:sz w:val="18"/>
            <w:szCs w:val="18"/>
            <w:lang w:val="en-US"/>
          </w:rPr>
          <w:t>https://www.hrw.org/news/2023/07/06/ukraine-civilian-deaths-cluster-munitions</w:t>
        </w:r>
      </w:hyperlink>
      <w:r w:rsidRPr="00E97424">
        <w:rPr>
          <w:sz w:val="18"/>
          <w:szCs w:val="18"/>
          <w:lang w:val="en-US"/>
        </w:rPr>
        <w:t xml:space="preserve">.  </w:t>
      </w:r>
    </w:p>
  </w:footnote>
  <w:footnote w:id="92">
    <w:p w14:paraId="6C0B7E27" w14:textId="03BABEFF" w:rsidR="002A64E5" w:rsidRPr="00C92AF8" w:rsidRDefault="002A64E5" w:rsidP="00E97424">
      <w:pPr>
        <w:pStyle w:val="Voetnoottekst"/>
        <w:jc w:val="both"/>
        <w:rPr>
          <w:sz w:val="18"/>
          <w:szCs w:val="18"/>
        </w:rPr>
      </w:pPr>
      <w:r w:rsidRPr="00E97424">
        <w:rPr>
          <w:rStyle w:val="Voetnootmarkering"/>
          <w:sz w:val="18"/>
          <w:szCs w:val="18"/>
          <w:lang w:val="en-US"/>
        </w:rPr>
        <w:footnoteRef/>
      </w:r>
      <w:r w:rsidRPr="00C92AF8">
        <w:rPr>
          <w:sz w:val="18"/>
          <w:szCs w:val="18"/>
        </w:rPr>
        <w:t xml:space="preserve"> ’</w:t>
      </w:r>
      <w:proofErr w:type="spellStart"/>
      <w:r w:rsidRPr="00C92AF8">
        <w:rPr>
          <w:sz w:val="18"/>
          <w:szCs w:val="18"/>
        </w:rPr>
        <w:t>Existing</w:t>
      </w:r>
      <w:proofErr w:type="spellEnd"/>
      <w:r w:rsidRPr="00C92AF8">
        <w:rPr>
          <w:sz w:val="18"/>
          <w:szCs w:val="18"/>
        </w:rPr>
        <w:t xml:space="preserve"> International </w:t>
      </w:r>
      <w:proofErr w:type="spellStart"/>
      <w:r w:rsidRPr="00C92AF8">
        <w:rPr>
          <w:sz w:val="18"/>
          <w:szCs w:val="18"/>
        </w:rPr>
        <w:t>Humanitarian</w:t>
      </w:r>
      <w:proofErr w:type="spellEnd"/>
      <w:r w:rsidRPr="00C92AF8">
        <w:rPr>
          <w:sz w:val="18"/>
          <w:szCs w:val="18"/>
        </w:rPr>
        <w:t xml:space="preserve"> </w:t>
      </w:r>
      <w:proofErr w:type="spellStart"/>
      <w:r w:rsidRPr="00C92AF8">
        <w:rPr>
          <w:sz w:val="18"/>
          <w:szCs w:val="18"/>
        </w:rPr>
        <w:t>Law</w:t>
      </w:r>
      <w:proofErr w:type="spellEnd"/>
      <w:r w:rsidRPr="00C92AF8">
        <w:rPr>
          <w:sz w:val="18"/>
          <w:szCs w:val="18"/>
        </w:rPr>
        <w:t xml:space="preserve">’, hrw.org, juli 2004, te raadplegen via: </w:t>
      </w:r>
      <w:hyperlink r:id="rId43">
        <w:r w:rsidRPr="00C92AF8">
          <w:rPr>
            <w:rStyle w:val="Hyperlink"/>
            <w:sz w:val="18"/>
            <w:szCs w:val="18"/>
          </w:rPr>
          <w:t>https://www.hrw.org/legacy/backgrounder/arms/clusters0704/2.htm</w:t>
        </w:r>
      </w:hyperlink>
      <w:r w:rsidRPr="00C92AF8">
        <w:rPr>
          <w:sz w:val="18"/>
          <w:szCs w:val="18"/>
        </w:rPr>
        <w:t xml:space="preserve">. </w:t>
      </w:r>
    </w:p>
  </w:footnote>
  <w:footnote w:id="93">
    <w:p w14:paraId="0FF3868C" w14:textId="77777777" w:rsidR="002A64E5" w:rsidRPr="00E97424" w:rsidRDefault="002A64E5" w:rsidP="00E97424">
      <w:pPr>
        <w:pStyle w:val="Voetnoottekst"/>
        <w:jc w:val="both"/>
        <w:rPr>
          <w:sz w:val="18"/>
          <w:szCs w:val="18"/>
        </w:rPr>
      </w:pPr>
      <w:r w:rsidRPr="00E97424">
        <w:rPr>
          <w:rStyle w:val="Voetnootmarkering"/>
          <w:sz w:val="18"/>
          <w:szCs w:val="18"/>
        </w:rPr>
        <w:footnoteRef/>
      </w:r>
      <w:r w:rsidRPr="00E97424">
        <w:rPr>
          <w:sz w:val="18"/>
          <w:szCs w:val="18"/>
        </w:rPr>
        <w:t xml:space="preserve"> ’Verdragen tegen conventionele wapens’, rijksoverheid.nl, te raadplegen via: </w:t>
      </w:r>
      <w:hyperlink r:id="rId44" w:anchor=":~:text=Clustermunitie%20is%20een%20door%20een,tussen%20burger%2D%20en%20militaire%20doelen">
        <w:r w:rsidRPr="00E97424">
          <w:rPr>
            <w:rStyle w:val="Hyperlink"/>
            <w:sz w:val="18"/>
            <w:szCs w:val="18"/>
          </w:rPr>
          <w:t>https://www.rijksoverheid.nl/onderwerpen/internationale-vrede-en-veiligheid/internationaal-beleid-wapenbeheersing/verdragen-tegen-conventionele-wapens#:~:text=Clustermunitie%20is%20een%20door%20een,tussen%20burger%2D%20en%20militaire%20doelen</w:t>
        </w:r>
      </w:hyperlink>
      <w:r w:rsidRPr="00E97424">
        <w:rPr>
          <w:sz w:val="18"/>
          <w:szCs w:val="18"/>
        </w:rPr>
        <w:t>, zie onderaan: ”Gebruik van clustermunitie is omstreden, omdat het veel menselijk leed kan veroorzaken. Daarnaast maakt het geen onderscheid tussen burger- en militaire doelen</w:t>
      </w:r>
      <w:r w:rsidR="794E25B3" w:rsidRPr="00E97424">
        <w:rPr>
          <w:sz w:val="18"/>
          <w:szCs w:val="18"/>
        </w:rPr>
        <w:t>.”</w:t>
      </w:r>
    </w:p>
  </w:footnote>
  <w:footnote w:id="94">
    <w:p w14:paraId="6D20224C" w14:textId="67F99208" w:rsidR="00AC6ACE" w:rsidRPr="00E97424" w:rsidRDefault="00AC6ACE" w:rsidP="00E97424">
      <w:pPr>
        <w:pStyle w:val="Voetnoottekst"/>
        <w:jc w:val="both"/>
        <w:rPr>
          <w:sz w:val="18"/>
          <w:szCs w:val="18"/>
        </w:rPr>
      </w:pPr>
      <w:r w:rsidRPr="00E97424">
        <w:rPr>
          <w:rStyle w:val="Voetnootmarkering"/>
          <w:sz w:val="18"/>
          <w:szCs w:val="18"/>
        </w:rPr>
        <w:footnoteRef/>
      </w:r>
      <w:r w:rsidRPr="00E97424">
        <w:rPr>
          <w:sz w:val="18"/>
          <w:szCs w:val="18"/>
        </w:rPr>
        <w:t xml:space="preserve"> RvS 1 juni 2007, No.W07.07.0100/II, Bijlage bij </w:t>
      </w:r>
      <w:r w:rsidR="794E25B3" w:rsidRPr="00E97424">
        <w:rPr>
          <w:i/>
          <w:iCs/>
          <w:sz w:val="18"/>
          <w:szCs w:val="18"/>
        </w:rPr>
        <w:t>Kamerstukken</w:t>
      </w:r>
      <w:r w:rsidRPr="00E97424">
        <w:rPr>
          <w:i/>
          <w:sz w:val="18"/>
          <w:szCs w:val="18"/>
        </w:rPr>
        <w:t xml:space="preserve"> II</w:t>
      </w:r>
      <w:r w:rsidRPr="00E97424">
        <w:rPr>
          <w:sz w:val="18"/>
          <w:szCs w:val="18"/>
        </w:rPr>
        <w:t xml:space="preserve"> 2017/18, 30 999, nr. 4, p. 1, te raadplegen via: </w:t>
      </w:r>
      <w:hyperlink r:id="rId45">
        <w:r w:rsidRPr="00E97424">
          <w:rPr>
            <w:rStyle w:val="Hyperlink"/>
            <w:sz w:val="18"/>
            <w:szCs w:val="18"/>
          </w:rPr>
          <w:t>https://www.raadvanstate.nl/adviezen/@64744/w07-07-0100-ii/</w:t>
        </w:r>
      </w:hyperlink>
      <w:r w:rsidRPr="00E97424">
        <w:rPr>
          <w:sz w:val="18"/>
          <w:szCs w:val="18"/>
        </w:rPr>
        <w:t xml:space="preserve">. </w:t>
      </w:r>
    </w:p>
  </w:footnote>
  <w:footnote w:id="95">
    <w:p w14:paraId="6BA397A1" w14:textId="36CF6E70" w:rsidR="00A82E94" w:rsidRPr="00C92AF8" w:rsidRDefault="00A82E94" w:rsidP="00E97424">
      <w:pPr>
        <w:pStyle w:val="Voetnoottekst"/>
        <w:jc w:val="both"/>
        <w:rPr>
          <w:sz w:val="18"/>
          <w:szCs w:val="18"/>
        </w:rPr>
      </w:pPr>
      <w:r w:rsidRPr="00E97424">
        <w:rPr>
          <w:rStyle w:val="Voetnootmarkering"/>
          <w:sz w:val="18"/>
          <w:szCs w:val="18"/>
        </w:rPr>
        <w:footnoteRef/>
      </w:r>
      <w:r w:rsidR="794E25B3" w:rsidRPr="00C92AF8">
        <w:rPr>
          <w:sz w:val="18"/>
          <w:szCs w:val="18"/>
        </w:rPr>
        <w:t xml:space="preserve"> Art. 6 lid 3 Wapenhandelsverdrag 2014, te raadplegen via: </w:t>
      </w:r>
      <w:hyperlink r:id="rId46">
        <w:r w:rsidR="794E25B3" w:rsidRPr="00C92AF8">
          <w:rPr>
            <w:rStyle w:val="Hyperlink"/>
            <w:sz w:val="18"/>
            <w:szCs w:val="18"/>
          </w:rPr>
          <w:t>https://wetten.overheid.nl/BWBV0006233/2014-12-24</w:t>
        </w:r>
      </w:hyperlink>
      <w:r w:rsidR="794E25B3" w:rsidRPr="00C92AF8">
        <w:rPr>
          <w:sz w:val="18"/>
          <w:szCs w:val="18"/>
        </w:rPr>
        <w:t xml:space="preserve">. </w:t>
      </w:r>
    </w:p>
  </w:footnote>
  <w:footnote w:id="96">
    <w:p w14:paraId="7DFCE9DB" w14:textId="77777777" w:rsidR="00A82E94" w:rsidRPr="00E97424" w:rsidRDefault="00A82E94"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IGH 30 </w:t>
      </w:r>
      <w:proofErr w:type="spellStart"/>
      <w:r w:rsidRPr="00E97424">
        <w:rPr>
          <w:sz w:val="18"/>
          <w:szCs w:val="18"/>
          <w:lang w:val="en-US"/>
        </w:rPr>
        <w:t>april</w:t>
      </w:r>
      <w:proofErr w:type="spellEnd"/>
      <w:r w:rsidRPr="00E97424">
        <w:rPr>
          <w:sz w:val="18"/>
          <w:szCs w:val="18"/>
          <w:lang w:val="en-US"/>
        </w:rPr>
        <w:t xml:space="preserve"> 2024, Alleged breaches of certain international obligations in respect of the Occupied Palestinian Territory (</w:t>
      </w:r>
      <w:r w:rsidRPr="00E97424">
        <w:rPr>
          <w:i/>
          <w:sz w:val="18"/>
          <w:szCs w:val="18"/>
          <w:lang w:val="en-US"/>
        </w:rPr>
        <w:t>Nicaragua v. Germany</w:t>
      </w:r>
      <w:r w:rsidRPr="00E97424">
        <w:rPr>
          <w:sz w:val="18"/>
          <w:szCs w:val="18"/>
          <w:lang w:val="en-US"/>
        </w:rPr>
        <w:t xml:space="preserve">), </w:t>
      </w:r>
      <w:proofErr w:type="spellStart"/>
      <w:r w:rsidRPr="00E97424">
        <w:rPr>
          <w:sz w:val="18"/>
          <w:szCs w:val="18"/>
          <w:lang w:val="en-US"/>
        </w:rPr>
        <w:t>rov</w:t>
      </w:r>
      <w:proofErr w:type="spellEnd"/>
      <w:r w:rsidRPr="00E97424">
        <w:rPr>
          <w:sz w:val="18"/>
          <w:szCs w:val="18"/>
          <w:lang w:val="en-US"/>
        </w:rPr>
        <w:t>. 24.</w:t>
      </w:r>
    </w:p>
  </w:footnote>
  <w:footnote w:id="97">
    <w:p w14:paraId="6AA465D3" w14:textId="77777777" w:rsidR="00A82E94" w:rsidRPr="00E97424" w:rsidRDefault="00A82E94"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ICRC, </w:t>
      </w:r>
      <w:r w:rsidRPr="00E97424">
        <w:rPr>
          <w:i/>
          <w:iCs/>
          <w:sz w:val="18"/>
          <w:szCs w:val="18"/>
          <w:lang w:val="en-US"/>
        </w:rPr>
        <w:t>Arms Transfer Decisions: Applying International Law Criteria</w:t>
      </w:r>
      <w:r w:rsidRPr="00E97424">
        <w:rPr>
          <w:sz w:val="18"/>
          <w:szCs w:val="18"/>
          <w:lang w:val="en-US"/>
        </w:rPr>
        <w:t>, Geneva, 2007, p. 3.</w:t>
      </w:r>
    </w:p>
  </w:footnote>
  <w:footnote w:id="98">
    <w:p w14:paraId="3FE345D1" w14:textId="7BEB33FD" w:rsidR="00A82E94" w:rsidRPr="00E97424" w:rsidRDefault="00A82E94" w:rsidP="00E97424">
      <w:pPr>
        <w:pStyle w:val="Voetnoottekst"/>
        <w:jc w:val="both"/>
        <w:rPr>
          <w:sz w:val="18"/>
          <w:szCs w:val="18"/>
          <w:lang w:val="en-US"/>
        </w:rPr>
      </w:pPr>
      <w:r w:rsidRPr="00E97424">
        <w:rPr>
          <w:rStyle w:val="Voetnootmarkering"/>
          <w:sz w:val="18"/>
          <w:szCs w:val="18"/>
          <w:lang w:val="en-US"/>
        </w:rPr>
        <w:footnoteRef/>
      </w:r>
      <w:r w:rsidRPr="00E97424">
        <w:rPr>
          <w:sz w:val="18"/>
          <w:szCs w:val="18"/>
          <w:lang w:val="en-US"/>
        </w:rPr>
        <w:t xml:space="preserve"> Hier </w:t>
      </w:r>
      <w:proofErr w:type="spellStart"/>
      <w:r w:rsidRPr="00E97424">
        <w:rPr>
          <w:sz w:val="18"/>
          <w:szCs w:val="18"/>
          <w:lang w:val="en-US"/>
        </w:rPr>
        <w:t>staat</w:t>
      </w:r>
      <w:proofErr w:type="spellEnd"/>
      <w:r w:rsidRPr="00E97424">
        <w:rPr>
          <w:sz w:val="18"/>
          <w:szCs w:val="18"/>
          <w:lang w:val="en-US"/>
        </w:rPr>
        <w:t xml:space="preserve"> ”A State Party shall not authorize any transfer of conventional arms (...) if it has knowledge at the time of authorization that the arms or items would be used in the commission of (...) grave breaches of the Geneva Conventions of 1949, attacks directed against civilian objects or civilians protected as such, or other war crimes as defined by international agreements to which it is a Party</w:t>
      </w:r>
      <w:r w:rsidR="794E25B3" w:rsidRPr="00E97424">
        <w:rPr>
          <w:sz w:val="18"/>
          <w:szCs w:val="18"/>
          <w:lang w:val="en-US"/>
        </w:rPr>
        <w:t>”.</w:t>
      </w:r>
      <w:r w:rsidRPr="00E97424">
        <w:rPr>
          <w:sz w:val="18"/>
          <w:szCs w:val="18"/>
          <w:lang w:val="en-US"/>
        </w:rPr>
        <w:t xml:space="preserve"> </w:t>
      </w:r>
    </w:p>
  </w:footnote>
  <w:footnote w:id="99">
    <w:p w14:paraId="0CFA2790" w14:textId="77777777" w:rsidR="00A82E94" w:rsidRPr="00E97424" w:rsidRDefault="00A82E94"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ICRC, </w:t>
      </w:r>
      <w:r w:rsidRPr="00E97424">
        <w:rPr>
          <w:i/>
          <w:iCs/>
          <w:sz w:val="18"/>
          <w:szCs w:val="18"/>
          <w:lang w:val="en-US"/>
        </w:rPr>
        <w:t>Arms Transfer Decisions: Applying International Law Criteria</w:t>
      </w:r>
      <w:r w:rsidRPr="00E97424">
        <w:rPr>
          <w:sz w:val="18"/>
          <w:szCs w:val="18"/>
          <w:lang w:val="en-US"/>
        </w:rPr>
        <w:t>, Geneva, 2007, p. 9.</w:t>
      </w:r>
    </w:p>
  </w:footnote>
  <w:footnote w:id="100">
    <w:p w14:paraId="73CC8179" w14:textId="77777777" w:rsidR="00A82E94" w:rsidRPr="00E97424" w:rsidRDefault="00A82E94" w:rsidP="00E97424">
      <w:pPr>
        <w:pStyle w:val="Voetnoottekst"/>
        <w:jc w:val="both"/>
        <w:rPr>
          <w:sz w:val="18"/>
          <w:szCs w:val="18"/>
          <w:lang w:val="en-US"/>
        </w:rPr>
      </w:pPr>
      <w:r w:rsidRPr="00E97424">
        <w:rPr>
          <w:rStyle w:val="Voetnootmarkering"/>
          <w:sz w:val="18"/>
          <w:szCs w:val="18"/>
        </w:rPr>
        <w:footnoteRef/>
      </w:r>
      <w:r w:rsidRPr="00E97424">
        <w:rPr>
          <w:sz w:val="18"/>
          <w:szCs w:val="18"/>
          <w:lang w:val="en-US"/>
        </w:rPr>
        <w:t xml:space="preserve"> K. </w:t>
      </w:r>
      <w:proofErr w:type="spellStart"/>
      <w:r w:rsidRPr="00E97424">
        <w:rPr>
          <w:sz w:val="18"/>
          <w:szCs w:val="18"/>
          <w:lang w:val="en-US"/>
        </w:rPr>
        <w:t>Dörmann</w:t>
      </w:r>
      <w:proofErr w:type="spellEnd"/>
      <w:r w:rsidRPr="00E97424">
        <w:rPr>
          <w:sz w:val="18"/>
          <w:szCs w:val="18"/>
          <w:lang w:val="en-US"/>
        </w:rPr>
        <w:t xml:space="preserve"> and J. </w:t>
      </w:r>
      <w:proofErr w:type="spellStart"/>
      <w:r w:rsidRPr="00E97424">
        <w:rPr>
          <w:sz w:val="18"/>
          <w:szCs w:val="18"/>
          <w:lang w:val="en-US"/>
        </w:rPr>
        <w:t>Serralvo</w:t>
      </w:r>
      <w:proofErr w:type="spellEnd"/>
      <w:r w:rsidRPr="00E97424">
        <w:rPr>
          <w:sz w:val="18"/>
          <w:szCs w:val="18"/>
          <w:lang w:val="en-US"/>
        </w:rPr>
        <w:t xml:space="preserve">, ’Common Article 1 to the Geneva Conventions and the obligation to prevent international humanitarian law violations’, </w:t>
      </w:r>
      <w:r w:rsidRPr="00E97424">
        <w:rPr>
          <w:i/>
          <w:iCs/>
          <w:sz w:val="18"/>
          <w:szCs w:val="18"/>
          <w:lang w:val="en-US"/>
        </w:rPr>
        <w:t>International Review of the Red Cross</w:t>
      </w:r>
      <w:r w:rsidRPr="00E97424">
        <w:rPr>
          <w:sz w:val="18"/>
          <w:szCs w:val="18"/>
          <w:lang w:val="en-US"/>
        </w:rPr>
        <w:t xml:space="preserve"> 2014, 96 (895/896), p. 734.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EA49" w14:textId="77777777" w:rsidR="00DA5552" w:rsidRDefault="007F127D">
    <w:pPr>
      <w:pStyle w:val="Koptekst"/>
    </w:pPr>
    <w:r>
      <w:rPr>
        <w:noProof/>
      </w:rPr>
      <w:drawing>
        <wp:anchor distT="0" distB="0" distL="114300" distR="114300" simplePos="0" relativeHeight="251658240" behindDoc="1" locked="0" layoutInCell="1" allowOverlap="1" wp14:anchorId="30147429" wp14:editId="1BB91FD0">
          <wp:simplePos x="0" y="0"/>
          <wp:positionH relativeFrom="margin">
            <wp:align>center</wp:align>
          </wp:positionH>
          <wp:positionV relativeFrom="margin">
            <wp:posOffset>-589280</wp:posOffset>
          </wp:positionV>
          <wp:extent cx="843280" cy="36957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369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6C5C"/>
    <w:multiLevelType w:val="multilevel"/>
    <w:tmpl w:val="A66024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9A53C6A"/>
    <w:multiLevelType w:val="multilevel"/>
    <w:tmpl w:val="A66024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551930C"/>
    <w:multiLevelType w:val="hybridMultilevel"/>
    <w:tmpl w:val="F1D86E64"/>
    <w:lvl w:ilvl="0" w:tplc="5B125874">
      <w:start w:val="1"/>
      <w:numFmt w:val="decimal"/>
      <w:lvlText w:val="%1."/>
      <w:lvlJc w:val="left"/>
      <w:pPr>
        <w:ind w:left="720" w:hanging="360"/>
      </w:pPr>
    </w:lvl>
    <w:lvl w:ilvl="1" w:tplc="B928A5BC">
      <w:start w:val="1"/>
      <w:numFmt w:val="lowerLetter"/>
      <w:lvlText w:val="%2."/>
      <w:lvlJc w:val="left"/>
      <w:pPr>
        <w:ind w:left="1440" w:hanging="360"/>
      </w:pPr>
    </w:lvl>
    <w:lvl w:ilvl="2" w:tplc="9E105FFC">
      <w:start w:val="1"/>
      <w:numFmt w:val="lowerRoman"/>
      <w:lvlText w:val="%3."/>
      <w:lvlJc w:val="right"/>
      <w:pPr>
        <w:ind w:left="2160" w:hanging="180"/>
      </w:pPr>
    </w:lvl>
    <w:lvl w:ilvl="3" w:tplc="AF3C0B32">
      <w:start w:val="1"/>
      <w:numFmt w:val="decimal"/>
      <w:lvlText w:val="%4."/>
      <w:lvlJc w:val="left"/>
      <w:pPr>
        <w:ind w:left="2880" w:hanging="360"/>
      </w:pPr>
    </w:lvl>
    <w:lvl w:ilvl="4" w:tplc="DA241700">
      <w:start w:val="1"/>
      <w:numFmt w:val="lowerLetter"/>
      <w:lvlText w:val="%5."/>
      <w:lvlJc w:val="left"/>
      <w:pPr>
        <w:ind w:left="3600" w:hanging="360"/>
      </w:pPr>
    </w:lvl>
    <w:lvl w:ilvl="5" w:tplc="AFBEBE5A">
      <w:start w:val="1"/>
      <w:numFmt w:val="lowerRoman"/>
      <w:lvlText w:val="%6."/>
      <w:lvlJc w:val="right"/>
      <w:pPr>
        <w:ind w:left="4320" w:hanging="180"/>
      </w:pPr>
    </w:lvl>
    <w:lvl w:ilvl="6" w:tplc="02CED094">
      <w:start w:val="1"/>
      <w:numFmt w:val="decimal"/>
      <w:lvlText w:val="%7."/>
      <w:lvlJc w:val="left"/>
      <w:pPr>
        <w:ind w:left="5040" w:hanging="360"/>
      </w:pPr>
    </w:lvl>
    <w:lvl w:ilvl="7" w:tplc="64D0DB1A">
      <w:start w:val="1"/>
      <w:numFmt w:val="lowerLetter"/>
      <w:lvlText w:val="%8."/>
      <w:lvlJc w:val="left"/>
      <w:pPr>
        <w:ind w:left="5760" w:hanging="360"/>
      </w:pPr>
    </w:lvl>
    <w:lvl w:ilvl="8" w:tplc="FF04D1EA">
      <w:start w:val="1"/>
      <w:numFmt w:val="lowerRoman"/>
      <w:lvlText w:val="%9."/>
      <w:lvlJc w:val="right"/>
      <w:pPr>
        <w:ind w:left="6480" w:hanging="180"/>
      </w:pPr>
    </w:lvl>
  </w:abstractNum>
  <w:abstractNum w:abstractNumId="3" w15:restartNumberingAfterBreak="0">
    <w:nsid w:val="1BC8111C"/>
    <w:multiLevelType w:val="hybridMultilevel"/>
    <w:tmpl w:val="FFFFFFFF"/>
    <w:lvl w:ilvl="0" w:tplc="7A20999A">
      <w:start w:val="1"/>
      <w:numFmt w:val="decimal"/>
      <w:pStyle w:val="Tekst"/>
      <w:lvlText w:val="%1."/>
      <w:lvlJc w:val="left"/>
      <w:pPr>
        <w:tabs>
          <w:tab w:val="num" w:pos="1275"/>
        </w:tabs>
        <w:ind w:left="1275" w:hanging="567"/>
      </w:pPr>
      <w:rPr>
        <w:rFonts w:cs="Times New Roman" w:hint="default"/>
      </w:rPr>
    </w:lvl>
    <w:lvl w:ilvl="1" w:tplc="04130019" w:tentative="1">
      <w:start w:val="1"/>
      <w:numFmt w:val="lowerLetter"/>
      <w:lvlText w:val="%2."/>
      <w:lvlJc w:val="left"/>
      <w:pPr>
        <w:ind w:left="1864" w:hanging="360"/>
      </w:pPr>
      <w:rPr>
        <w:rFonts w:cs="Times New Roman"/>
      </w:rPr>
    </w:lvl>
    <w:lvl w:ilvl="2" w:tplc="0413001B" w:tentative="1">
      <w:start w:val="1"/>
      <w:numFmt w:val="lowerRoman"/>
      <w:lvlText w:val="%3."/>
      <w:lvlJc w:val="right"/>
      <w:pPr>
        <w:ind w:left="2584" w:hanging="180"/>
      </w:pPr>
      <w:rPr>
        <w:rFonts w:cs="Times New Roman"/>
      </w:rPr>
    </w:lvl>
    <w:lvl w:ilvl="3" w:tplc="0413000F" w:tentative="1">
      <w:start w:val="1"/>
      <w:numFmt w:val="decimal"/>
      <w:lvlText w:val="%4."/>
      <w:lvlJc w:val="left"/>
      <w:pPr>
        <w:ind w:left="3304" w:hanging="360"/>
      </w:pPr>
      <w:rPr>
        <w:rFonts w:cs="Times New Roman"/>
      </w:rPr>
    </w:lvl>
    <w:lvl w:ilvl="4" w:tplc="04130019" w:tentative="1">
      <w:start w:val="1"/>
      <w:numFmt w:val="lowerLetter"/>
      <w:lvlText w:val="%5."/>
      <w:lvlJc w:val="left"/>
      <w:pPr>
        <w:ind w:left="4024" w:hanging="360"/>
      </w:pPr>
      <w:rPr>
        <w:rFonts w:cs="Times New Roman"/>
      </w:rPr>
    </w:lvl>
    <w:lvl w:ilvl="5" w:tplc="0413001B" w:tentative="1">
      <w:start w:val="1"/>
      <w:numFmt w:val="lowerRoman"/>
      <w:lvlText w:val="%6."/>
      <w:lvlJc w:val="right"/>
      <w:pPr>
        <w:ind w:left="4744" w:hanging="180"/>
      </w:pPr>
      <w:rPr>
        <w:rFonts w:cs="Times New Roman"/>
      </w:rPr>
    </w:lvl>
    <w:lvl w:ilvl="6" w:tplc="0413000F" w:tentative="1">
      <w:start w:val="1"/>
      <w:numFmt w:val="decimal"/>
      <w:lvlText w:val="%7."/>
      <w:lvlJc w:val="left"/>
      <w:pPr>
        <w:ind w:left="5464" w:hanging="360"/>
      </w:pPr>
      <w:rPr>
        <w:rFonts w:cs="Times New Roman"/>
      </w:rPr>
    </w:lvl>
    <w:lvl w:ilvl="7" w:tplc="04130019" w:tentative="1">
      <w:start w:val="1"/>
      <w:numFmt w:val="lowerLetter"/>
      <w:lvlText w:val="%8."/>
      <w:lvlJc w:val="left"/>
      <w:pPr>
        <w:ind w:left="6184" w:hanging="360"/>
      </w:pPr>
      <w:rPr>
        <w:rFonts w:cs="Times New Roman"/>
      </w:rPr>
    </w:lvl>
    <w:lvl w:ilvl="8" w:tplc="0413001B" w:tentative="1">
      <w:start w:val="1"/>
      <w:numFmt w:val="lowerRoman"/>
      <w:lvlText w:val="%9."/>
      <w:lvlJc w:val="right"/>
      <w:pPr>
        <w:ind w:left="6904" w:hanging="180"/>
      </w:pPr>
      <w:rPr>
        <w:rFonts w:cs="Times New Roman"/>
      </w:rPr>
    </w:lvl>
  </w:abstractNum>
  <w:abstractNum w:abstractNumId="4" w15:restartNumberingAfterBreak="0">
    <w:nsid w:val="1FCC0410"/>
    <w:multiLevelType w:val="multilevel"/>
    <w:tmpl w:val="FFFFFFFF"/>
    <w:lvl w:ilvl="0">
      <w:start w:val="1"/>
      <w:numFmt w:val="decimal"/>
      <w:pStyle w:val="Kop1"/>
      <w:lvlText w:val="%1"/>
      <w:lvlJc w:val="left"/>
      <w:pPr>
        <w:ind w:left="851" w:hanging="851"/>
      </w:pPr>
    </w:lvl>
    <w:lvl w:ilvl="1">
      <w:start w:val="1"/>
      <w:numFmt w:val="decimal"/>
      <w:pStyle w:val="Kop2"/>
      <w:lvlText w:val="%1.%2"/>
      <w:lvlJc w:val="left"/>
      <w:pPr>
        <w:ind w:left="851" w:hanging="851"/>
      </w:pPr>
      <w:rPr>
        <w:rFonts w:cs="Times New Roman" w:hint="default"/>
      </w:rPr>
    </w:lvl>
    <w:lvl w:ilvl="2">
      <w:start w:val="1"/>
      <w:numFmt w:val="decimal"/>
      <w:pStyle w:val="Kop3"/>
      <w:lvlText w:val="%1.%2.%3"/>
      <w:lvlJc w:val="left"/>
      <w:pPr>
        <w:ind w:left="851" w:hanging="851"/>
      </w:pPr>
      <w:rPr>
        <w:rFonts w:cs="Times New Roman" w:hint="default"/>
      </w:rPr>
    </w:lvl>
    <w:lvl w:ilvl="3">
      <w:start w:val="1"/>
      <w:numFmt w:val="decimal"/>
      <w:pStyle w:val="Kop4"/>
      <w:lvlText w:val="%1.%2.%3.%4"/>
      <w:lvlJc w:val="left"/>
      <w:pPr>
        <w:ind w:left="851" w:hanging="851"/>
      </w:pPr>
      <w:rPr>
        <w:rFonts w:cs="Times New Roman" w:hint="default"/>
      </w:rPr>
    </w:lvl>
    <w:lvl w:ilvl="4">
      <w:start w:val="1"/>
      <w:numFmt w:val="decimal"/>
      <w:pStyle w:val="Kop5"/>
      <w:lvlText w:val="%1.%2.%3.%4.%5"/>
      <w:lvlJc w:val="left"/>
      <w:pPr>
        <w:ind w:left="851" w:hanging="851"/>
      </w:pPr>
      <w:rPr>
        <w:rFonts w:cs="Times New Roman" w:hint="default"/>
      </w:rPr>
    </w:lvl>
    <w:lvl w:ilvl="5">
      <w:start w:val="1"/>
      <w:numFmt w:val="decimal"/>
      <w:pStyle w:val="Kop6"/>
      <w:lvlText w:val="%1.%2.%3.%4.%5.%6"/>
      <w:lvlJc w:val="left"/>
      <w:pPr>
        <w:ind w:left="851" w:hanging="851"/>
      </w:pPr>
      <w:rPr>
        <w:rFonts w:cs="Times New Roman" w:hint="default"/>
      </w:rPr>
    </w:lvl>
    <w:lvl w:ilvl="6">
      <w:start w:val="1"/>
      <w:numFmt w:val="decimal"/>
      <w:pStyle w:val="Kop7"/>
      <w:lvlText w:val="%1.%2.%3.%4.%5.%6.%7"/>
      <w:lvlJc w:val="left"/>
      <w:pPr>
        <w:ind w:left="851" w:hanging="851"/>
      </w:pPr>
      <w:rPr>
        <w:rFonts w:cs="Times New Roman" w:hint="default"/>
      </w:rPr>
    </w:lvl>
    <w:lvl w:ilvl="7">
      <w:start w:val="1"/>
      <w:numFmt w:val="decimal"/>
      <w:pStyle w:val="Kop8"/>
      <w:lvlText w:val="%1.%2.%3.%4.%5.%6.%7.%8"/>
      <w:lvlJc w:val="left"/>
      <w:pPr>
        <w:ind w:left="851" w:hanging="851"/>
      </w:pPr>
      <w:rPr>
        <w:rFonts w:cs="Times New Roman" w:hint="default"/>
      </w:rPr>
    </w:lvl>
    <w:lvl w:ilvl="8">
      <w:start w:val="1"/>
      <w:numFmt w:val="decimal"/>
      <w:pStyle w:val="Kop9"/>
      <w:lvlText w:val="%1.%2.%3.%4.%5.%6.%7.%8.%9"/>
      <w:lvlJc w:val="left"/>
      <w:pPr>
        <w:ind w:left="851" w:hanging="851"/>
      </w:pPr>
      <w:rPr>
        <w:rFonts w:cs="Times New Roman" w:hint="default"/>
      </w:rPr>
    </w:lvl>
  </w:abstractNum>
  <w:abstractNum w:abstractNumId="5" w15:restartNumberingAfterBreak="0">
    <w:nsid w:val="2D281824"/>
    <w:multiLevelType w:val="hybridMultilevel"/>
    <w:tmpl w:val="1B70F36A"/>
    <w:lvl w:ilvl="0" w:tplc="277C1856">
      <w:start w:val="1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3B6FB3"/>
    <w:multiLevelType w:val="hybridMultilevel"/>
    <w:tmpl w:val="FFFFFFFF"/>
    <w:lvl w:ilvl="0" w:tplc="A4421ABA">
      <w:start w:val="1"/>
      <w:numFmt w:val="decimal"/>
      <w:lvlText w:val="%1."/>
      <w:lvlJc w:val="left"/>
      <w:pPr>
        <w:tabs>
          <w:tab w:val="num" w:pos="851"/>
        </w:tabs>
        <w:ind w:left="851" w:hanging="851"/>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50ACD11F"/>
    <w:multiLevelType w:val="hybridMultilevel"/>
    <w:tmpl w:val="B2062026"/>
    <w:lvl w:ilvl="0" w:tplc="AFEA240A">
      <w:start w:val="1"/>
      <w:numFmt w:val="lowerLetter"/>
      <w:lvlText w:val="%1."/>
      <w:lvlJc w:val="left"/>
      <w:pPr>
        <w:ind w:left="1068" w:hanging="360"/>
      </w:pPr>
    </w:lvl>
    <w:lvl w:ilvl="1" w:tplc="F9E200F4">
      <w:start w:val="1"/>
      <w:numFmt w:val="lowerLetter"/>
      <w:lvlText w:val="%2."/>
      <w:lvlJc w:val="left"/>
      <w:pPr>
        <w:ind w:left="1788" w:hanging="360"/>
      </w:pPr>
    </w:lvl>
    <w:lvl w:ilvl="2" w:tplc="08B46034">
      <w:start w:val="1"/>
      <w:numFmt w:val="lowerRoman"/>
      <w:lvlText w:val="%3."/>
      <w:lvlJc w:val="right"/>
      <w:pPr>
        <w:ind w:left="2508" w:hanging="180"/>
      </w:pPr>
    </w:lvl>
    <w:lvl w:ilvl="3" w:tplc="FF9240E2">
      <w:start w:val="1"/>
      <w:numFmt w:val="decimal"/>
      <w:lvlText w:val="%4."/>
      <w:lvlJc w:val="left"/>
      <w:pPr>
        <w:ind w:left="3228" w:hanging="360"/>
      </w:pPr>
    </w:lvl>
    <w:lvl w:ilvl="4" w:tplc="9AB0D2BA">
      <w:start w:val="1"/>
      <w:numFmt w:val="lowerLetter"/>
      <w:lvlText w:val="%5."/>
      <w:lvlJc w:val="left"/>
      <w:pPr>
        <w:ind w:left="3948" w:hanging="360"/>
      </w:pPr>
    </w:lvl>
    <w:lvl w:ilvl="5" w:tplc="D2F6DA70">
      <w:start w:val="1"/>
      <w:numFmt w:val="lowerRoman"/>
      <w:lvlText w:val="%6."/>
      <w:lvlJc w:val="right"/>
      <w:pPr>
        <w:ind w:left="4668" w:hanging="180"/>
      </w:pPr>
    </w:lvl>
    <w:lvl w:ilvl="6" w:tplc="A6D4875C">
      <w:start w:val="1"/>
      <w:numFmt w:val="decimal"/>
      <w:lvlText w:val="%7."/>
      <w:lvlJc w:val="left"/>
      <w:pPr>
        <w:ind w:left="5388" w:hanging="360"/>
      </w:pPr>
    </w:lvl>
    <w:lvl w:ilvl="7" w:tplc="62B8B92E">
      <w:start w:val="1"/>
      <w:numFmt w:val="lowerLetter"/>
      <w:lvlText w:val="%8."/>
      <w:lvlJc w:val="left"/>
      <w:pPr>
        <w:ind w:left="6108" w:hanging="360"/>
      </w:pPr>
    </w:lvl>
    <w:lvl w:ilvl="8" w:tplc="9F589F02">
      <w:start w:val="1"/>
      <w:numFmt w:val="lowerRoman"/>
      <w:lvlText w:val="%9."/>
      <w:lvlJc w:val="right"/>
      <w:pPr>
        <w:ind w:left="6828" w:hanging="180"/>
      </w:pPr>
    </w:lvl>
  </w:abstractNum>
  <w:abstractNum w:abstractNumId="8" w15:restartNumberingAfterBreak="0">
    <w:nsid w:val="67B13852"/>
    <w:multiLevelType w:val="hybridMultilevel"/>
    <w:tmpl w:val="BDBEA704"/>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9" w15:restartNumberingAfterBreak="0">
    <w:nsid w:val="797844B5"/>
    <w:multiLevelType w:val="hybridMultilevel"/>
    <w:tmpl w:val="D980B962"/>
    <w:lvl w:ilvl="0" w:tplc="084EFA08">
      <w:start w:val="2"/>
      <w:numFmt w:val="bullet"/>
      <w:lvlText w:val=""/>
      <w:lvlJc w:val="left"/>
      <w:pPr>
        <w:ind w:left="720" w:hanging="360"/>
      </w:pPr>
      <w:rPr>
        <w:rFonts w:ascii="Wingdings" w:eastAsia="Times New Roman" w:hAnsi="Wingdings" w:cs="Times New Roman" w:hint="default"/>
      </w:rPr>
    </w:lvl>
    <w:lvl w:ilvl="1" w:tplc="74787952">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8839C6"/>
    <w:multiLevelType w:val="multilevel"/>
    <w:tmpl w:val="223467F0"/>
    <w:lvl w:ilvl="0">
      <w:start w:val="1"/>
      <w:numFmt w:val="decimal"/>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0509359">
    <w:abstractNumId w:val="0"/>
  </w:num>
  <w:num w:numId="2" w16cid:durableId="1677414308">
    <w:abstractNumId w:val="10"/>
  </w:num>
  <w:num w:numId="3" w16cid:durableId="317929666">
    <w:abstractNumId w:val="7"/>
  </w:num>
  <w:num w:numId="4" w16cid:durableId="144517175">
    <w:abstractNumId w:val="2"/>
  </w:num>
  <w:num w:numId="5" w16cid:durableId="2119905725">
    <w:abstractNumId w:val="6"/>
  </w:num>
  <w:num w:numId="6" w16cid:durableId="1436098653">
    <w:abstractNumId w:val="4"/>
  </w:num>
  <w:num w:numId="7" w16cid:durableId="1120682885">
    <w:abstractNumId w:val="3"/>
  </w:num>
  <w:num w:numId="8" w16cid:durableId="1431200697">
    <w:abstractNumId w:val="9"/>
  </w:num>
  <w:num w:numId="9" w16cid:durableId="1645237746">
    <w:abstractNumId w:val="8"/>
  </w:num>
  <w:num w:numId="10" w16cid:durableId="1631786422">
    <w:abstractNumId w:val="5"/>
  </w:num>
  <w:num w:numId="11" w16cid:durableId="1798139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52"/>
    <w:rsid w:val="00002BDA"/>
    <w:rsid w:val="000034AC"/>
    <w:rsid w:val="00003920"/>
    <w:rsid w:val="00003B46"/>
    <w:rsid w:val="00006063"/>
    <w:rsid w:val="00006678"/>
    <w:rsid w:val="00006893"/>
    <w:rsid w:val="00006CC0"/>
    <w:rsid w:val="0000DB07"/>
    <w:rsid w:val="00010F12"/>
    <w:rsid w:val="00011808"/>
    <w:rsid w:val="00012088"/>
    <w:rsid w:val="000129C5"/>
    <w:rsid w:val="00012DED"/>
    <w:rsid w:val="00013505"/>
    <w:rsid w:val="0001386E"/>
    <w:rsid w:val="00013DC5"/>
    <w:rsid w:val="0001569B"/>
    <w:rsid w:val="0001581F"/>
    <w:rsid w:val="000206AA"/>
    <w:rsid w:val="00020DE6"/>
    <w:rsid w:val="00025062"/>
    <w:rsid w:val="000256C9"/>
    <w:rsid w:val="00025B4B"/>
    <w:rsid w:val="000266EB"/>
    <w:rsid w:val="00036CEB"/>
    <w:rsid w:val="0004047C"/>
    <w:rsid w:val="000422A1"/>
    <w:rsid w:val="00043E48"/>
    <w:rsid w:val="00044231"/>
    <w:rsid w:val="00046F71"/>
    <w:rsid w:val="00047525"/>
    <w:rsid w:val="00054DA7"/>
    <w:rsid w:val="00055A8C"/>
    <w:rsid w:val="00057ACC"/>
    <w:rsid w:val="00064994"/>
    <w:rsid w:val="00064BAC"/>
    <w:rsid w:val="00066168"/>
    <w:rsid w:val="0006617B"/>
    <w:rsid w:val="00066738"/>
    <w:rsid w:val="00066D94"/>
    <w:rsid w:val="00067FDE"/>
    <w:rsid w:val="0007005C"/>
    <w:rsid w:val="000704BD"/>
    <w:rsid w:val="00070E87"/>
    <w:rsid w:val="00070E90"/>
    <w:rsid w:val="000727E4"/>
    <w:rsid w:val="00073ABF"/>
    <w:rsid w:val="00074AA5"/>
    <w:rsid w:val="000750C6"/>
    <w:rsid w:val="00075579"/>
    <w:rsid w:val="0008024E"/>
    <w:rsid w:val="00081A26"/>
    <w:rsid w:val="00082759"/>
    <w:rsid w:val="0008335A"/>
    <w:rsid w:val="00086105"/>
    <w:rsid w:val="00087870"/>
    <w:rsid w:val="00087ABC"/>
    <w:rsid w:val="00090D55"/>
    <w:rsid w:val="00090E30"/>
    <w:rsid w:val="000926AF"/>
    <w:rsid w:val="000927CB"/>
    <w:rsid w:val="00093E2F"/>
    <w:rsid w:val="00094B31"/>
    <w:rsid w:val="00095327"/>
    <w:rsid w:val="000A1561"/>
    <w:rsid w:val="000A1968"/>
    <w:rsid w:val="000A1E02"/>
    <w:rsid w:val="000A2A60"/>
    <w:rsid w:val="000A3CE4"/>
    <w:rsid w:val="000A6581"/>
    <w:rsid w:val="000A6B58"/>
    <w:rsid w:val="000A71B5"/>
    <w:rsid w:val="000A78D6"/>
    <w:rsid w:val="000B0A5F"/>
    <w:rsid w:val="000B206F"/>
    <w:rsid w:val="000B301A"/>
    <w:rsid w:val="000B5883"/>
    <w:rsid w:val="000C0675"/>
    <w:rsid w:val="000C07A8"/>
    <w:rsid w:val="000C0878"/>
    <w:rsid w:val="000C0F61"/>
    <w:rsid w:val="000C16DB"/>
    <w:rsid w:val="000C3218"/>
    <w:rsid w:val="000C3EDB"/>
    <w:rsid w:val="000C4879"/>
    <w:rsid w:val="000C5032"/>
    <w:rsid w:val="000C53B4"/>
    <w:rsid w:val="000C548C"/>
    <w:rsid w:val="000C54ED"/>
    <w:rsid w:val="000C55BB"/>
    <w:rsid w:val="000C5C8D"/>
    <w:rsid w:val="000C6462"/>
    <w:rsid w:val="000C7C8E"/>
    <w:rsid w:val="000D1FB5"/>
    <w:rsid w:val="000D4D11"/>
    <w:rsid w:val="000D4FE1"/>
    <w:rsid w:val="000D5267"/>
    <w:rsid w:val="000D55AD"/>
    <w:rsid w:val="000D6C94"/>
    <w:rsid w:val="000D6E9B"/>
    <w:rsid w:val="000D7101"/>
    <w:rsid w:val="000E0BC0"/>
    <w:rsid w:val="000E0DB9"/>
    <w:rsid w:val="000E197A"/>
    <w:rsid w:val="000E2DA8"/>
    <w:rsid w:val="000E4F6D"/>
    <w:rsid w:val="000E543A"/>
    <w:rsid w:val="000E54D1"/>
    <w:rsid w:val="000E6929"/>
    <w:rsid w:val="000F1AE8"/>
    <w:rsid w:val="000F1E3C"/>
    <w:rsid w:val="000F2345"/>
    <w:rsid w:val="000F3FFF"/>
    <w:rsid w:val="000F629F"/>
    <w:rsid w:val="000F6DEC"/>
    <w:rsid w:val="001000F5"/>
    <w:rsid w:val="0010011B"/>
    <w:rsid w:val="00100B17"/>
    <w:rsid w:val="00104662"/>
    <w:rsid w:val="00105728"/>
    <w:rsid w:val="001065DB"/>
    <w:rsid w:val="00107A36"/>
    <w:rsid w:val="001110A7"/>
    <w:rsid w:val="00111262"/>
    <w:rsid w:val="00113351"/>
    <w:rsid w:val="00113ADC"/>
    <w:rsid w:val="001159B3"/>
    <w:rsid w:val="001169C1"/>
    <w:rsid w:val="001174B4"/>
    <w:rsid w:val="00121851"/>
    <w:rsid w:val="00123E19"/>
    <w:rsid w:val="00124BDD"/>
    <w:rsid w:val="00125F22"/>
    <w:rsid w:val="001262D9"/>
    <w:rsid w:val="0012644B"/>
    <w:rsid w:val="0012650A"/>
    <w:rsid w:val="001279E2"/>
    <w:rsid w:val="00130603"/>
    <w:rsid w:val="00131410"/>
    <w:rsid w:val="00134408"/>
    <w:rsid w:val="00144874"/>
    <w:rsid w:val="00145B3B"/>
    <w:rsid w:val="00145E2F"/>
    <w:rsid w:val="0014664A"/>
    <w:rsid w:val="001478A0"/>
    <w:rsid w:val="00147972"/>
    <w:rsid w:val="001502A3"/>
    <w:rsid w:val="00150707"/>
    <w:rsid w:val="00150C16"/>
    <w:rsid w:val="00151D1D"/>
    <w:rsid w:val="00154994"/>
    <w:rsid w:val="001552CD"/>
    <w:rsid w:val="00157286"/>
    <w:rsid w:val="001606A0"/>
    <w:rsid w:val="001606D4"/>
    <w:rsid w:val="00162EF5"/>
    <w:rsid w:val="001657C0"/>
    <w:rsid w:val="00166F7C"/>
    <w:rsid w:val="001726EA"/>
    <w:rsid w:val="00176CC7"/>
    <w:rsid w:val="00177829"/>
    <w:rsid w:val="00177C9A"/>
    <w:rsid w:val="00177CAB"/>
    <w:rsid w:val="00177D30"/>
    <w:rsid w:val="00184EF5"/>
    <w:rsid w:val="001853EE"/>
    <w:rsid w:val="001855F8"/>
    <w:rsid w:val="00186A30"/>
    <w:rsid w:val="00191043"/>
    <w:rsid w:val="001912A9"/>
    <w:rsid w:val="00191418"/>
    <w:rsid w:val="00193908"/>
    <w:rsid w:val="00193E7E"/>
    <w:rsid w:val="00195F36"/>
    <w:rsid w:val="001A0386"/>
    <w:rsid w:val="001A1AAB"/>
    <w:rsid w:val="001A3B23"/>
    <w:rsid w:val="001A51BB"/>
    <w:rsid w:val="001A520D"/>
    <w:rsid w:val="001A5A23"/>
    <w:rsid w:val="001A60CE"/>
    <w:rsid w:val="001A7D62"/>
    <w:rsid w:val="001B1FA8"/>
    <w:rsid w:val="001B3A68"/>
    <w:rsid w:val="001B4666"/>
    <w:rsid w:val="001B4AE6"/>
    <w:rsid w:val="001B4C9A"/>
    <w:rsid w:val="001B5759"/>
    <w:rsid w:val="001B6229"/>
    <w:rsid w:val="001B64C1"/>
    <w:rsid w:val="001C08D4"/>
    <w:rsid w:val="001C19E8"/>
    <w:rsid w:val="001C455F"/>
    <w:rsid w:val="001C6346"/>
    <w:rsid w:val="001C7606"/>
    <w:rsid w:val="001C7972"/>
    <w:rsid w:val="001D2762"/>
    <w:rsid w:val="001D3152"/>
    <w:rsid w:val="001D7CFF"/>
    <w:rsid w:val="001E0F67"/>
    <w:rsid w:val="001E31ED"/>
    <w:rsid w:val="001E3397"/>
    <w:rsid w:val="001E41C5"/>
    <w:rsid w:val="001E6DA7"/>
    <w:rsid w:val="001E725E"/>
    <w:rsid w:val="001E7A09"/>
    <w:rsid w:val="001E7C3D"/>
    <w:rsid w:val="001F01A9"/>
    <w:rsid w:val="001F3383"/>
    <w:rsid w:val="001F35DE"/>
    <w:rsid w:val="001F4390"/>
    <w:rsid w:val="001F46DD"/>
    <w:rsid w:val="001F593D"/>
    <w:rsid w:val="001F5C58"/>
    <w:rsid w:val="001F69E6"/>
    <w:rsid w:val="002041B6"/>
    <w:rsid w:val="00205B0B"/>
    <w:rsid w:val="002073B6"/>
    <w:rsid w:val="00207A8E"/>
    <w:rsid w:val="00211862"/>
    <w:rsid w:val="00212FAD"/>
    <w:rsid w:val="00216406"/>
    <w:rsid w:val="002170CC"/>
    <w:rsid w:val="00217558"/>
    <w:rsid w:val="0022350D"/>
    <w:rsid w:val="00223D5C"/>
    <w:rsid w:val="00225927"/>
    <w:rsid w:val="00225D9C"/>
    <w:rsid w:val="002274C6"/>
    <w:rsid w:val="00234F05"/>
    <w:rsid w:val="00235002"/>
    <w:rsid w:val="002355D8"/>
    <w:rsid w:val="00236434"/>
    <w:rsid w:val="002364D4"/>
    <w:rsid w:val="002378BE"/>
    <w:rsid w:val="00237B0E"/>
    <w:rsid w:val="00240DB4"/>
    <w:rsid w:val="0024225D"/>
    <w:rsid w:val="00243605"/>
    <w:rsid w:val="0024599F"/>
    <w:rsid w:val="00245A8A"/>
    <w:rsid w:val="0024689E"/>
    <w:rsid w:val="00246A74"/>
    <w:rsid w:val="00247142"/>
    <w:rsid w:val="002503CD"/>
    <w:rsid w:val="0025059D"/>
    <w:rsid w:val="002516CC"/>
    <w:rsid w:val="00252B07"/>
    <w:rsid w:val="00252B10"/>
    <w:rsid w:val="0025495C"/>
    <w:rsid w:val="002559CD"/>
    <w:rsid w:val="002563D4"/>
    <w:rsid w:val="00260AA5"/>
    <w:rsid w:val="00262E42"/>
    <w:rsid w:val="00264A7B"/>
    <w:rsid w:val="002665A7"/>
    <w:rsid w:val="00267AC5"/>
    <w:rsid w:val="00267FCB"/>
    <w:rsid w:val="002727F5"/>
    <w:rsid w:val="002740B5"/>
    <w:rsid w:val="00276A29"/>
    <w:rsid w:val="00276B11"/>
    <w:rsid w:val="00276DDC"/>
    <w:rsid w:val="00277EFE"/>
    <w:rsid w:val="00282E79"/>
    <w:rsid w:val="00283791"/>
    <w:rsid w:val="00284970"/>
    <w:rsid w:val="00285166"/>
    <w:rsid w:val="00285BC8"/>
    <w:rsid w:val="00286436"/>
    <w:rsid w:val="002944B9"/>
    <w:rsid w:val="002947CE"/>
    <w:rsid w:val="002A295D"/>
    <w:rsid w:val="002A4417"/>
    <w:rsid w:val="002A64E5"/>
    <w:rsid w:val="002A67F3"/>
    <w:rsid w:val="002A79DD"/>
    <w:rsid w:val="002A7C48"/>
    <w:rsid w:val="002B28CA"/>
    <w:rsid w:val="002B3241"/>
    <w:rsid w:val="002B488F"/>
    <w:rsid w:val="002B4ECC"/>
    <w:rsid w:val="002B692F"/>
    <w:rsid w:val="002C00FE"/>
    <w:rsid w:val="002C0684"/>
    <w:rsid w:val="002C103D"/>
    <w:rsid w:val="002C321D"/>
    <w:rsid w:val="002C46FA"/>
    <w:rsid w:val="002C4C18"/>
    <w:rsid w:val="002C5180"/>
    <w:rsid w:val="002C5BB3"/>
    <w:rsid w:val="002C6A13"/>
    <w:rsid w:val="002C7590"/>
    <w:rsid w:val="002D0784"/>
    <w:rsid w:val="002D182E"/>
    <w:rsid w:val="002D3692"/>
    <w:rsid w:val="002D3E70"/>
    <w:rsid w:val="002D5341"/>
    <w:rsid w:val="002D5462"/>
    <w:rsid w:val="002D58EE"/>
    <w:rsid w:val="002D5B7B"/>
    <w:rsid w:val="002E1BD4"/>
    <w:rsid w:val="002E2D83"/>
    <w:rsid w:val="002E398F"/>
    <w:rsid w:val="002E3E3C"/>
    <w:rsid w:val="002E50CB"/>
    <w:rsid w:val="002E5551"/>
    <w:rsid w:val="002E77AC"/>
    <w:rsid w:val="002F03A0"/>
    <w:rsid w:val="002F33C1"/>
    <w:rsid w:val="002F367B"/>
    <w:rsid w:val="002F3CBA"/>
    <w:rsid w:val="002F4C2F"/>
    <w:rsid w:val="002F630B"/>
    <w:rsid w:val="002F71C1"/>
    <w:rsid w:val="003006FA"/>
    <w:rsid w:val="003040F1"/>
    <w:rsid w:val="003073E4"/>
    <w:rsid w:val="00314253"/>
    <w:rsid w:val="00316554"/>
    <w:rsid w:val="00317CAB"/>
    <w:rsid w:val="00321E47"/>
    <w:rsid w:val="0032298F"/>
    <w:rsid w:val="00322BCD"/>
    <w:rsid w:val="00324DBB"/>
    <w:rsid w:val="003263C0"/>
    <w:rsid w:val="003274AC"/>
    <w:rsid w:val="00331936"/>
    <w:rsid w:val="003334EF"/>
    <w:rsid w:val="00337935"/>
    <w:rsid w:val="00342BBE"/>
    <w:rsid w:val="0034307A"/>
    <w:rsid w:val="003440E9"/>
    <w:rsid w:val="00344694"/>
    <w:rsid w:val="003456BD"/>
    <w:rsid w:val="00345B2A"/>
    <w:rsid w:val="00345CCE"/>
    <w:rsid w:val="00346BF0"/>
    <w:rsid w:val="00347C15"/>
    <w:rsid w:val="00347ED3"/>
    <w:rsid w:val="003502A3"/>
    <w:rsid w:val="00350D80"/>
    <w:rsid w:val="00351B5E"/>
    <w:rsid w:val="00354058"/>
    <w:rsid w:val="003542F3"/>
    <w:rsid w:val="00354881"/>
    <w:rsid w:val="00356E57"/>
    <w:rsid w:val="0035723C"/>
    <w:rsid w:val="0036058C"/>
    <w:rsid w:val="00360785"/>
    <w:rsid w:val="003626FB"/>
    <w:rsid w:val="00364EC1"/>
    <w:rsid w:val="00366FAF"/>
    <w:rsid w:val="00370418"/>
    <w:rsid w:val="003727B8"/>
    <w:rsid w:val="00372B42"/>
    <w:rsid w:val="00380015"/>
    <w:rsid w:val="003805BF"/>
    <w:rsid w:val="00380A8D"/>
    <w:rsid w:val="0038248C"/>
    <w:rsid w:val="00382E85"/>
    <w:rsid w:val="003848D1"/>
    <w:rsid w:val="003921FB"/>
    <w:rsid w:val="003928A0"/>
    <w:rsid w:val="003944AA"/>
    <w:rsid w:val="0039517C"/>
    <w:rsid w:val="003963E6"/>
    <w:rsid w:val="00397EBE"/>
    <w:rsid w:val="00397F20"/>
    <w:rsid w:val="003A15CD"/>
    <w:rsid w:val="003A1A30"/>
    <w:rsid w:val="003A301B"/>
    <w:rsid w:val="003A30EC"/>
    <w:rsid w:val="003A39D8"/>
    <w:rsid w:val="003A5D98"/>
    <w:rsid w:val="003B2494"/>
    <w:rsid w:val="003B28C0"/>
    <w:rsid w:val="003B76A1"/>
    <w:rsid w:val="003C07B2"/>
    <w:rsid w:val="003C0DDB"/>
    <w:rsid w:val="003C20D2"/>
    <w:rsid w:val="003C2D20"/>
    <w:rsid w:val="003C33EE"/>
    <w:rsid w:val="003C3534"/>
    <w:rsid w:val="003C6AE3"/>
    <w:rsid w:val="003C70BB"/>
    <w:rsid w:val="003C71AA"/>
    <w:rsid w:val="003C730B"/>
    <w:rsid w:val="003CE361"/>
    <w:rsid w:val="003D3D8C"/>
    <w:rsid w:val="003D4C2E"/>
    <w:rsid w:val="003D5265"/>
    <w:rsid w:val="003D5B54"/>
    <w:rsid w:val="003D5E55"/>
    <w:rsid w:val="003D74CA"/>
    <w:rsid w:val="003E120D"/>
    <w:rsid w:val="003E17CC"/>
    <w:rsid w:val="003E1962"/>
    <w:rsid w:val="003E2103"/>
    <w:rsid w:val="003E30CA"/>
    <w:rsid w:val="003E4856"/>
    <w:rsid w:val="003E5CB4"/>
    <w:rsid w:val="003E75EF"/>
    <w:rsid w:val="003F01F4"/>
    <w:rsid w:val="003F11FE"/>
    <w:rsid w:val="003F12C3"/>
    <w:rsid w:val="003F2C40"/>
    <w:rsid w:val="003F34BE"/>
    <w:rsid w:val="003F4B65"/>
    <w:rsid w:val="00402685"/>
    <w:rsid w:val="00410E60"/>
    <w:rsid w:val="004155D7"/>
    <w:rsid w:val="00415F8E"/>
    <w:rsid w:val="004162CF"/>
    <w:rsid w:val="004167BA"/>
    <w:rsid w:val="00416911"/>
    <w:rsid w:val="00424120"/>
    <w:rsid w:val="00426702"/>
    <w:rsid w:val="00431858"/>
    <w:rsid w:val="00431B0B"/>
    <w:rsid w:val="004352AC"/>
    <w:rsid w:val="004358B7"/>
    <w:rsid w:val="00435AF5"/>
    <w:rsid w:val="00440D4E"/>
    <w:rsid w:val="00441593"/>
    <w:rsid w:val="00441A13"/>
    <w:rsid w:val="00442BBE"/>
    <w:rsid w:val="00442CF2"/>
    <w:rsid w:val="00443BDC"/>
    <w:rsid w:val="00444212"/>
    <w:rsid w:val="00444245"/>
    <w:rsid w:val="004446CD"/>
    <w:rsid w:val="00445CB3"/>
    <w:rsid w:val="0044685F"/>
    <w:rsid w:val="00450FFD"/>
    <w:rsid w:val="0045133C"/>
    <w:rsid w:val="00452D18"/>
    <w:rsid w:val="00454689"/>
    <w:rsid w:val="00454F1E"/>
    <w:rsid w:val="004554B9"/>
    <w:rsid w:val="0045683E"/>
    <w:rsid w:val="00456AB2"/>
    <w:rsid w:val="00456D80"/>
    <w:rsid w:val="00457368"/>
    <w:rsid w:val="0045799F"/>
    <w:rsid w:val="00457B39"/>
    <w:rsid w:val="00457D76"/>
    <w:rsid w:val="004609A5"/>
    <w:rsid w:val="004617DB"/>
    <w:rsid w:val="00462688"/>
    <w:rsid w:val="00464276"/>
    <w:rsid w:val="004645DA"/>
    <w:rsid w:val="0046543A"/>
    <w:rsid w:val="0046632C"/>
    <w:rsid w:val="00466561"/>
    <w:rsid w:val="00471652"/>
    <w:rsid w:val="00474BEB"/>
    <w:rsid w:val="00475FCA"/>
    <w:rsid w:val="00481AF6"/>
    <w:rsid w:val="00482D68"/>
    <w:rsid w:val="00483026"/>
    <w:rsid w:val="00484232"/>
    <w:rsid w:val="00484FC4"/>
    <w:rsid w:val="00486C27"/>
    <w:rsid w:val="00486E16"/>
    <w:rsid w:val="00490871"/>
    <w:rsid w:val="004910DB"/>
    <w:rsid w:val="00492810"/>
    <w:rsid w:val="0049314B"/>
    <w:rsid w:val="004937F1"/>
    <w:rsid w:val="0049402E"/>
    <w:rsid w:val="00494E8D"/>
    <w:rsid w:val="004962FD"/>
    <w:rsid w:val="0049722A"/>
    <w:rsid w:val="004A349F"/>
    <w:rsid w:val="004A3647"/>
    <w:rsid w:val="004A76E3"/>
    <w:rsid w:val="004A7F97"/>
    <w:rsid w:val="004B1168"/>
    <w:rsid w:val="004B1D5F"/>
    <w:rsid w:val="004B2B51"/>
    <w:rsid w:val="004B64B4"/>
    <w:rsid w:val="004B6A47"/>
    <w:rsid w:val="004C2C77"/>
    <w:rsid w:val="004C42C0"/>
    <w:rsid w:val="004C45A0"/>
    <w:rsid w:val="004C6C3F"/>
    <w:rsid w:val="004D2E58"/>
    <w:rsid w:val="004D5013"/>
    <w:rsid w:val="004D6024"/>
    <w:rsid w:val="004E30CA"/>
    <w:rsid w:val="004E55AA"/>
    <w:rsid w:val="004E5BD2"/>
    <w:rsid w:val="004E63E1"/>
    <w:rsid w:val="004E6539"/>
    <w:rsid w:val="004F0E70"/>
    <w:rsid w:val="004F1398"/>
    <w:rsid w:val="004F1C9D"/>
    <w:rsid w:val="004F2D5E"/>
    <w:rsid w:val="004F470D"/>
    <w:rsid w:val="004F4B11"/>
    <w:rsid w:val="004F7E61"/>
    <w:rsid w:val="0050332D"/>
    <w:rsid w:val="0050434E"/>
    <w:rsid w:val="0050566D"/>
    <w:rsid w:val="005062B6"/>
    <w:rsid w:val="005072BD"/>
    <w:rsid w:val="005102AB"/>
    <w:rsid w:val="00511665"/>
    <w:rsid w:val="00511BFF"/>
    <w:rsid w:val="00513522"/>
    <w:rsid w:val="00515FC3"/>
    <w:rsid w:val="005178BF"/>
    <w:rsid w:val="00521572"/>
    <w:rsid w:val="00522B12"/>
    <w:rsid w:val="005236BB"/>
    <w:rsid w:val="00525F36"/>
    <w:rsid w:val="005264C1"/>
    <w:rsid w:val="005306E2"/>
    <w:rsid w:val="00531CCE"/>
    <w:rsid w:val="00532256"/>
    <w:rsid w:val="0053545D"/>
    <w:rsid w:val="00537105"/>
    <w:rsid w:val="00540687"/>
    <w:rsid w:val="00541289"/>
    <w:rsid w:val="00543FF9"/>
    <w:rsid w:val="00544396"/>
    <w:rsid w:val="00545B1F"/>
    <w:rsid w:val="00550625"/>
    <w:rsid w:val="005513DE"/>
    <w:rsid w:val="0055189A"/>
    <w:rsid w:val="005531F7"/>
    <w:rsid w:val="00554CA0"/>
    <w:rsid w:val="00554DA2"/>
    <w:rsid w:val="00555A75"/>
    <w:rsid w:val="00556CFD"/>
    <w:rsid w:val="005571E4"/>
    <w:rsid w:val="005574FA"/>
    <w:rsid w:val="0056014C"/>
    <w:rsid w:val="00560CFD"/>
    <w:rsid w:val="00562DD5"/>
    <w:rsid w:val="0056329D"/>
    <w:rsid w:val="005660A7"/>
    <w:rsid w:val="00567A17"/>
    <w:rsid w:val="005704D9"/>
    <w:rsid w:val="00573670"/>
    <w:rsid w:val="005745DA"/>
    <w:rsid w:val="00576331"/>
    <w:rsid w:val="00581774"/>
    <w:rsid w:val="0058681D"/>
    <w:rsid w:val="005917D0"/>
    <w:rsid w:val="005920DD"/>
    <w:rsid w:val="00593D7F"/>
    <w:rsid w:val="00594878"/>
    <w:rsid w:val="00595DFC"/>
    <w:rsid w:val="00596C4E"/>
    <w:rsid w:val="005A1AF0"/>
    <w:rsid w:val="005A2E1E"/>
    <w:rsid w:val="005A4F93"/>
    <w:rsid w:val="005B0BB3"/>
    <w:rsid w:val="005B0EA7"/>
    <w:rsid w:val="005B1BD8"/>
    <w:rsid w:val="005B3325"/>
    <w:rsid w:val="005B38F0"/>
    <w:rsid w:val="005B3B89"/>
    <w:rsid w:val="005B51D9"/>
    <w:rsid w:val="005B56E6"/>
    <w:rsid w:val="005B5974"/>
    <w:rsid w:val="005B5DD8"/>
    <w:rsid w:val="005B60C6"/>
    <w:rsid w:val="005B6379"/>
    <w:rsid w:val="005B6A17"/>
    <w:rsid w:val="005B7133"/>
    <w:rsid w:val="005C071C"/>
    <w:rsid w:val="005C237A"/>
    <w:rsid w:val="005C2FC6"/>
    <w:rsid w:val="005C6ACD"/>
    <w:rsid w:val="005C6D29"/>
    <w:rsid w:val="005E2190"/>
    <w:rsid w:val="005E2F31"/>
    <w:rsid w:val="005E3EAF"/>
    <w:rsid w:val="005E41D3"/>
    <w:rsid w:val="005E523D"/>
    <w:rsid w:val="005E54AC"/>
    <w:rsid w:val="005F034A"/>
    <w:rsid w:val="005F16D2"/>
    <w:rsid w:val="005F2307"/>
    <w:rsid w:val="005F2A79"/>
    <w:rsid w:val="005F31FA"/>
    <w:rsid w:val="005F3434"/>
    <w:rsid w:val="005F36CA"/>
    <w:rsid w:val="005F47EE"/>
    <w:rsid w:val="005F639D"/>
    <w:rsid w:val="005F6A48"/>
    <w:rsid w:val="0060104A"/>
    <w:rsid w:val="00602DE7"/>
    <w:rsid w:val="00604B15"/>
    <w:rsid w:val="00604FD4"/>
    <w:rsid w:val="00606D97"/>
    <w:rsid w:val="006092B8"/>
    <w:rsid w:val="00610F59"/>
    <w:rsid w:val="00611532"/>
    <w:rsid w:val="00611E9A"/>
    <w:rsid w:val="00611F31"/>
    <w:rsid w:val="00612381"/>
    <w:rsid w:val="00612E54"/>
    <w:rsid w:val="00614774"/>
    <w:rsid w:val="00615CBF"/>
    <w:rsid w:val="00620E10"/>
    <w:rsid w:val="00621145"/>
    <w:rsid w:val="0062132B"/>
    <w:rsid w:val="00622009"/>
    <w:rsid w:val="006227A0"/>
    <w:rsid w:val="006233CA"/>
    <w:rsid w:val="006239BF"/>
    <w:rsid w:val="00625590"/>
    <w:rsid w:val="0062666E"/>
    <w:rsid w:val="00627205"/>
    <w:rsid w:val="00627A03"/>
    <w:rsid w:val="006308FB"/>
    <w:rsid w:val="00630AC2"/>
    <w:rsid w:val="00630E72"/>
    <w:rsid w:val="00632623"/>
    <w:rsid w:val="00635D27"/>
    <w:rsid w:val="00636763"/>
    <w:rsid w:val="00637F1E"/>
    <w:rsid w:val="006407D2"/>
    <w:rsid w:val="00643C8F"/>
    <w:rsid w:val="00644196"/>
    <w:rsid w:val="006456B7"/>
    <w:rsid w:val="0065051F"/>
    <w:rsid w:val="0065075A"/>
    <w:rsid w:val="00650A46"/>
    <w:rsid w:val="006543FB"/>
    <w:rsid w:val="006556E4"/>
    <w:rsid w:val="0065573D"/>
    <w:rsid w:val="00655D68"/>
    <w:rsid w:val="00656366"/>
    <w:rsid w:val="00657EF2"/>
    <w:rsid w:val="006623D4"/>
    <w:rsid w:val="00664B5F"/>
    <w:rsid w:val="006707E0"/>
    <w:rsid w:val="0067085E"/>
    <w:rsid w:val="006713B4"/>
    <w:rsid w:val="0067234F"/>
    <w:rsid w:val="006742AF"/>
    <w:rsid w:val="0067592D"/>
    <w:rsid w:val="006769F9"/>
    <w:rsid w:val="00677920"/>
    <w:rsid w:val="0068038B"/>
    <w:rsid w:val="00682A09"/>
    <w:rsid w:val="00690DE0"/>
    <w:rsid w:val="00692FA2"/>
    <w:rsid w:val="006954DF"/>
    <w:rsid w:val="00695DB9"/>
    <w:rsid w:val="006965F6"/>
    <w:rsid w:val="00697FDC"/>
    <w:rsid w:val="006A1576"/>
    <w:rsid w:val="006A41AA"/>
    <w:rsid w:val="006A5059"/>
    <w:rsid w:val="006A5889"/>
    <w:rsid w:val="006A5F81"/>
    <w:rsid w:val="006B42BB"/>
    <w:rsid w:val="006B46D2"/>
    <w:rsid w:val="006B57C6"/>
    <w:rsid w:val="006C1312"/>
    <w:rsid w:val="006C182C"/>
    <w:rsid w:val="006C3CC5"/>
    <w:rsid w:val="006C4F7F"/>
    <w:rsid w:val="006C5B51"/>
    <w:rsid w:val="006C6EC4"/>
    <w:rsid w:val="006C7598"/>
    <w:rsid w:val="006D05E2"/>
    <w:rsid w:val="006D09FC"/>
    <w:rsid w:val="006D1532"/>
    <w:rsid w:val="006D18CA"/>
    <w:rsid w:val="006D22A1"/>
    <w:rsid w:val="006D2A57"/>
    <w:rsid w:val="006D3C34"/>
    <w:rsid w:val="006D47BC"/>
    <w:rsid w:val="006D48FF"/>
    <w:rsid w:val="006D5836"/>
    <w:rsid w:val="006D5C42"/>
    <w:rsid w:val="006D64BA"/>
    <w:rsid w:val="006D6760"/>
    <w:rsid w:val="006D6A17"/>
    <w:rsid w:val="006D7440"/>
    <w:rsid w:val="006D7C4F"/>
    <w:rsid w:val="006D7EC0"/>
    <w:rsid w:val="006E10DC"/>
    <w:rsid w:val="006E12DD"/>
    <w:rsid w:val="006E3BF9"/>
    <w:rsid w:val="006E52D1"/>
    <w:rsid w:val="006E682B"/>
    <w:rsid w:val="006E7E8F"/>
    <w:rsid w:val="006F065E"/>
    <w:rsid w:val="006F0BBF"/>
    <w:rsid w:val="006F2BE5"/>
    <w:rsid w:val="006F2E09"/>
    <w:rsid w:val="006F4CAE"/>
    <w:rsid w:val="00700F66"/>
    <w:rsid w:val="00701A45"/>
    <w:rsid w:val="0070205F"/>
    <w:rsid w:val="00704829"/>
    <w:rsid w:val="00704F54"/>
    <w:rsid w:val="00706FF9"/>
    <w:rsid w:val="00707434"/>
    <w:rsid w:val="00707C02"/>
    <w:rsid w:val="00711750"/>
    <w:rsid w:val="00712583"/>
    <w:rsid w:val="00712E7C"/>
    <w:rsid w:val="00712EA0"/>
    <w:rsid w:val="007177E6"/>
    <w:rsid w:val="007207E1"/>
    <w:rsid w:val="007208A2"/>
    <w:rsid w:val="0072156F"/>
    <w:rsid w:val="00723A69"/>
    <w:rsid w:val="00724FEF"/>
    <w:rsid w:val="00726A9A"/>
    <w:rsid w:val="00726D82"/>
    <w:rsid w:val="007279C0"/>
    <w:rsid w:val="00732586"/>
    <w:rsid w:val="00734EA9"/>
    <w:rsid w:val="00735EE7"/>
    <w:rsid w:val="0073771B"/>
    <w:rsid w:val="00740023"/>
    <w:rsid w:val="00741462"/>
    <w:rsid w:val="007418C6"/>
    <w:rsid w:val="00741B03"/>
    <w:rsid w:val="00741B0A"/>
    <w:rsid w:val="00741D2F"/>
    <w:rsid w:val="00745A59"/>
    <w:rsid w:val="00746027"/>
    <w:rsid w:val="0074686B"/>
    <w:rsid w:val="00746E5C"/>
    <w:rsid w:val="007503B1"/>
    <w:rsid w:val="00750562"/>
    <w:rsid w:val="0075067B"/>
    <w:rsid w:val="0075089A"/>
    <w:rsid w:val="007508F1"/>
    <w:rsid w:val="0075108A"/>
    <w:rsid w:val="0075166B"/>
    <w:rsid w:val="00752246"/>
    <w:rsid w:val="00752718"/>
    <w:rsid w:val="00754605"/>
    <w:rsid w:val="00754A1B"/>
    <w:rsid w:val="007558C1"/>
    <w:rsid w:val="00757CA0"/>
    <w:rsid w:val="0076242A"/>
    <w:rsid w:val="00763FCA"/>
    <w:rsid w:val="007642B0"/>
    <w:rsid w:val="00765711"/>
    <w:rsid w:val="00766206"/>
    <w:rsid w:val="007703D1"/>
    <w:rsid w:val="007708E9"/>
    <w:rsid w:val="00771A49"/>
    <w:rsid w:val="0077204A"/>
    <w:rsid w:val="00773707"/>
    <w:rsid w:val="00783F4F"/>
    <w:rsid w:val="007840BA"/>
    <w:rsid w:val="0078583C"/>
    <w:rsid w:val="00786435"/>
    <w:rsid w:val="00786F81"/>
    <w:rsid w:val="00786F9E"/>
    <w:rsid w:val="00787DAA"/>
    <w:rsid w:val="00790296"/>
    <w:rsid w:val="00791464"/>
    <w:rsid w:val="00791926"/>
    <w:rsid w:val="00794CF6"/>
    <w:rsid w:val="007967DB"/>
    <w:rsid w:val="00796C5B"/>
    <w:rsid w:val="007A0470"/>
    <w:rsid w:val="007A0B1E"/>
    <w:rsid w:val="007A206A"/>
    <w:rsid w:val="007A27DD"/>
    <w:rsid w:val="007A2BEF"/>
    <w:rsid w:val="007A3210"/>
    <w:rsid w:val="007A3AF6"/>
    <w:rsid w:val="007A3FDF"/>
    <w:rsid w:val="007A5CDC"/>
    <w:rsid w:val="007A66BB"/>
    <w:rsid w:val="007A680E"/>
    <w:rsid w:val="007B0CC5"/>
    <w:rsid w:val="007B382C"/>
    <w:rsid w:val="007B5819"/>
    <w:rsid w:val="007B616A"/>
    <w:rsid w:val="007B7B99"/>
    <w:rsid w:val="007C0955"/>
    <w:rsid w:val="007C1825"/>
    <w:rsid w:val="007C6536"/>
    <w:rsid w:val="007C6F62"/>
    <w:rsid w:val="007C787D"/>
    <w:rsid w:val="007C7D02"/>
    <w:rsid w:val="007D2A66"/>
    <w:rsid w:val="007D3FC9"/>
    <w:rsid w:val="007D61A3"/>
    <w:rsid w:val="007D7494"/>
    <w:rsid w:val="007D7AE1"/>
    <w:rsid w:val="007D7D05"/>
    <w:rsid w:val="007E11C4"/>
    <w:rsid w:val="007E21A6"/>
    <w:rsid w:val="007E3011"/>
    <w:rsid w:val="007E43FD"/>
    <w:rsid w:val="007E4CEA"/>
    <w:rsid w:val="007E51C5"/>
    <w:rsid w:val="007E5DBC"/>
    <w:rsid w:val="007F127D"/>
    <w:rsid w:val="007F23EA"/>
    <w:rsid w:val="007F5E69"/>
    <w:rsid w:val="007F6847"/>
    <w:rsid w:val="007F6C0F"/>
    <w:rsid w:val="007F7FFE"/>
    <w:rsid w:val="00803445"/>
    <w:rsid w:val="0080371D"/>
    <w:rsid w:val="0080389F"/>
    <w:rsid w:val="00804C99"/>
    <w:rsid w:val="008069A1"/>
    <w:rsid w:val="00807C60"/>
    <w:rsid w:val="008115E9"/>
    <w:rsid w:val="008126DC"/>
    <w:rsid w:val="0081398C"/>
    <w:rsid w:val="0081447A"/>
    <w:rsid w:val="008145F1"/>
    <w:rsid w:val="008147B2"/>
    <w:rsid w:val="008159FD"/>
    <w:rsid w:val="00815E7D"/>
    <w:rsid w:val="0081691A"/>
    <w:rsid w:val="008267CF"/>
    <w:rsid w:val="00826B04"/>
    <w:rsid w:val="008303E9"/>
    <w:rsid w:val="00830BC1"/>
    <w:rsid w:val="0083260D"/>
    <w:rsid w:val="00832AD9"/>
    <w:rsid w:val="00832B57"/>
    <w:rsid w:val="00833C69"/>
    <w:rsid w:val="0083484E"/>
    <w:rsid w:val="00836564"/>
    <w:rsid w:val="00836C2B"/>
    <w:rsid w:val="0083733B"/>
    <w:rsid w:val="0084139E"/>
    <w:rsid w:val="00841B53"/>
    <w:rsid w:val="0084353D"/>
    <w:rsid w:val="008442E1"/>
    <w:rsid w:val="00850C75"/>
    <w:rsid w:val="00850E31"/>
    <w:rsid w:val="00851DCD"/>
    <w:rsid w:val="00851F91"/>
    <w:rsid w:val="00852F85"/>
    <w:rsid w:val="00854094"/>
    <w:rsid w:val="00854F88"/>
    <w:rsid w:val="00855352"/>
    <w:rsid w:val="00855610"/>
    <w:rsid w:val="008574E5"/>
    <w:rsid w:val="0086058E"/>
    <w:rsid w:val="00860D25"/>
    <w:rsid w:val="008614C5"/>
    <w:rsid w:val="00864388"/>
    <w:rsid w:val="00874B9B"/>
    <w:rsid w:val="008761C9"/>
    <w:rsid w:val="00877ADD"/>
    <w:rsid w:val="00880C31"/>
    <w:rsid w:val="008812B6"/>
    <w:rsid w:val="0088171B"/>
    <w:rsid w:val="00881875"/>
    <w:rsid w:val="00882C3E"/>
    <w:rsid w:val="0088501F"/>
    <w:rsid w:val="00886093"/>
    <w:rsid w:val="00891FB3"/>
    <w:rsid w:val="00893553"/>
    <w:rsid w:val="008940B3"/>
    <w:rsid w:val="008945E6"/>
    <w:rsid w:val="00896096"/>
    <w:rsid w:val="00896627"/>
    <w:rsid w:val="008971E1"/>
    <w:rsid w:val="008A2103"/>
    <w:rsid w:val="008A450C"/>
    <w:rsid w:val="008A4B0E"/>
    <w:rsid w:val="008A4DEB"/>
    <w:rsid w:val="008A6108"/>
    <w:rsid w:val="008A7676"/>
    <w:rsid w:val="008A76E2"/>
    <w:rsid w:val="008B0149"/>
    <w:rsid w:val="008B058F"/>
    <w:rsid w:val="008B0BF4"/>
    <w:rsid w:val="008B0F71"/>
    <w:rsid w:val="008B178F"/>
    <w:rsid w:val="008B2EDC"/>
    <w:rsid w:val="008B3E9C"/>
    <w:rsid w:val="008B797C"/>
    <w:rsid w:val="008C0289"/>
    <w:rsid w:val="008C0AB5"/>
    <w:rsid w:val="008C22D5"/>
    <w:rsid w:val="008C37A4"/>
    <w:rsid w:val="008D0109"/>
    <w:rsid w:val="008D0805"/>
    <w:rsid w:val="008D0ABF"/>
    <w:rsid w:val="008D1C63"/>
    <w:rsid w:val="008D3B42"/>
    <w:rsid w:val="008D551B"/>
    <w:rsid w:val="008D558F"/>
    <w:rsid w:val="008D57E0"/>
    <w:rsid w:val="008D5F7C"/>
    <w:rsid w:val="008D61AA"/>
    <w:rsid w:val="008D75A0"/>
    <w:rsid w:val="008E0563"/>
    <w:rsid w:val="008E0CDB"/>
    <w:rsid w:val="008E20B4"/>
    <w:rsid w:val="008E2332"/>
    <w:rsid w:val="008E30A0"/>
    <w:rsid w:val="008E3917"/>
    <w:rsid w:val="008E5DBB"/>
    <w:rsid w:val="008E6DE0"/>
    <w:rsid w:val="008E7200"/>
    <w:rsid w:val="008E7E43"/>
    <w:rsid w:val="008E7FA8"/>
    <w:rsid w:val="008F2925"/>
    <w:rsid w:val="008F526A"/>
    <w:rsid w:val="008F683A"/>
    <w:rsid w:val="0090336A"/>
    <w:rsid w:val="009033C2"/>
    <w:rsid w:val="0090363F"/>
    <w:rsid w:val="009058D7"/>
    <w:rsid w:val="0091203A"/>
    <w:rsid w:val="0091669E"/>
    <w:rsid w:val="009215DF"/>
    <w:rsid w:val="009220A7"/>
    <w:rsid w:val="0092270F"/>
    <w:rsid w:val="00932315"/>
    <w:rsid w:val="00933532"/>
    <w:rsid w:val="00933DD4"/>
    <w:rsid w:val="00934345"/>
    <w:rsid w:val="009347E9"/>
    <w:rsid w:val="00935ECA"/>
    <w:rsid w:val="00936A6B"/>
    <w:rsid w:val="00937DE7"/>
    <w:rsid w:val="0094342C"/>
    <w:rsid w:val="00943E19"/>
    <w:rsid w:val="00944A89"/>
    <w:rsid w:val="00945055"/>
    <w:rsid w:val="00945188"/>
    <w:rsid w:val="00945706"/>
    <w:rsid w:val="00946CDA"/>
    <w:rsid w:val="00950E1C"/>
    <w:rsid w:val="00950F12"/>
    <w:rsid w:val="00950F63"/>
    <w:rsid w:val="009524FD"/>
    <w:rsid w:val="00956623"/>
    <w:rsid w:val="0095715D"/>
    <w:rsid w:val="0095743F"/>
    <w:rsid w:val="00960740"/>
    <w:rsid w:val="0096074E"/>
    <w:rsid w:val="00960D23"/>
    <w:rsid w:val="00961662"/>
    <w:rsid w:val="00961C05"/>
    <w:rsid w:val="00962E8D"/>
    <w:rsid w:val="00963563"/>
    <w:rsid w:val="00964FCC"/>
    <w:rsid w:val="009650F4"/>
    <w:rsid w:val="009658FC"/>
    <w:rsid w:val="009674CA"/>
    <w:rsid w:val="009701BA"/>
    <w:rsid w:val="00971517"/>
    <w:rsid w:val="0097153F"/>
    <w:rsid w:val="00972CDA"/>
    <w:rsid w:val="00973855"/>
    <w:rsid w:val="00973DA8"/>
    <w:rsid w:val="009759E9"/>
    <w:rsid w:val="00977AD5"/>
    <w:rsid w:val="00980665"/>
    <w:rsid w:val="009832CE"/>
    <w:rsid w:val="00986A8F"/>
    <w:rsid w:val="0098785E"/>
    <w:rsid w:val="00987E34"/>
    <w:rsid w:val="00991092"/>
    <w:rsid w:val="009922A2"/>
    <w:rsid w:val="00994B7B"/>
    <w:rsid w:val="0099500A"/>
    <w:rsid w:val="00995317"/>
    <w:rsid w:val="00997F6A"/>
    <w:rsid w:val="009A1172"/>
    <w:rsid w:val="009A17B1"/>
    <w:rsid w:val="009A4465"/>
    <w:rsid w:val="009A5D67"/>
    <w:rsid w:val="009A6C4C"/>
    <w:rsid w:val="009A75CD"/>
    <w:rsid w:val="009B052A"/>
    <w:rsid w:val="009B0E56"/>
    <w:rsid w:val="009B1F15"/>
    <w:rsid w:val="009B20EE"/>
    <w:rsid w:val="009B35C4"/>
    <w:rsid w:val="009B3CAF"/>
    <w:rsid w:val="009B3E49"/>
    <w:rsid w:val="009B5F15"/>
    <w:rsid w:val="009B6BA8"/>
    <w:rsid w:val="009B78EC"/>
    <w:rsid w:val="009B7A3E"/>
    <w:rsid w:val="009C071E"/>
    <w:rsid w:val="009C1238"/>
    <w:rsid w:val="009C1EAB"/>
    <w:rsid w:val="009C3A5E"/>
    <w:rsid w:val="009C620F"/>
    <w:rsid w:val="009C6E08"/>
    <w:rsid w:val="009C74DA"/>
    <w:rsid w:val="009CFAFD"/>
    <w:rsid w:val="009D1A20"/>
    <w:rsid w:val="009D2D84"/>
    <w:rsid w:val="009E1463"/>
    <w:rsid w:val="009E1ADF"/>
    <w:rsid w:val="009E3A45"/>
    <w:rsid w:val="009E46A9"/>
    <w:rsid w:val="009E4B48"/>
    <w:rsid w:val="009E4C08"/>
    <w:rsid w:val="009F1408"/>
    <w:rsid w:val="009F158C"/>
    <w:rsid w:val="009F1CF6"/>
    <w:rsid w:val="009F3B47"/>
    <w:rsid w:val="009F46FF"/>
    <w:rsid w:val="009F583E"/>
    <w:rsid w:val="009F5975"/>
    <w:rsid w:val="009F61C4"/>
    <w:rsid w:val="009F61CE"/>
    <w:rsid w:val="009F6A09"/>
    <w:rsid w:val="00A01866"/>
    <w:rsid w:val="00A02FD7"/>
    <w:rsid w:val="00A03078"/>
    <w:rsid w:val="00A06989"/>
    <w:rsid w:val="00A06CD2"/>
    <w:rsid w:val="00A13229"/>
    <w:rsid w:val="00A13B4A"/>
    <w:rsid w:val="00A14061"/>
    <w:rsid w:val="00A14CBC"/>
    <w:rsid w:val="00A1733F"/>
    <w:rsid w:val="00A17818"/>
    <w:rsid w:val="00A20385"/>
    <w:rsid w:val="00A20A0A"/>
    <w:rsid w:val="00A21149"/>
    <w:rsid w:val="00A216C5"/>
    <w:rsid w:val="00A23D98"/>
    <w:rsid w:val="00A30929"/>
    <w:rsid w:val="00A30DCC"/>
    <w:rsid w:val="00A3176E"/>
    <w:rsid w:val="00A31A80"/>
    <w:rsid w:val="00A33FA5"/>
    <w:rsid w:val="00A35E0E"/>
    <w:rsid w:val="00A35E9F"/>
    <w:rsid w:val="00A35F78"/>
    <w:rsid w:val="00A42C3C"/>
    <w:rsid w:val="00A43F0C"/>
    <w:rsid w:val="00A4495B"/>
    <w:rsid w:val="00A50477"/>
    <w:rsid w:val="00A52646"/>
    <w:rsid w:val="00A528D2"/>
    <w:rsid w:val="00A538F0"/>
    <w:rsid w:val="00A53FF5"/>
    <w:rsid w:val="00A544FC"/>
    <w:rsid w:val="00A559D0"/>
    <w:rsid w:val="00A55A3B"/>
    <w:rsid w:val="00A55CFE"/>
    <w:rsid w:val="00A6138A"/>
    <w:rsid w:val="00A620E0"/>
    <w:rsid w:val="00A66182"/>
    <w:rsid w:val="00A6646A"/>
    <w:rsid w:val="00A718CE"/>
    <w:rsid w:val="00A73BBF"/>
    <w:rsid w:val="00A73EA0"/>
    <w:rsid w:val="00A7463A"/>
    <w:rsid w:val="00A8211B"/>
    <w:rsid w:val="00A82478"/>
    <w:rsid w:val="00A82E94"/>
    <w:rsid w:val="00A837F7"/>
    <w:rsid w:val="00A86CF7"/>
    <w:rsid w:val="00A87293"/>
    <w:rsid w:val="00A93CA8"/>
    <w:rsid w:val="00A9552D"/>
    <w:rsid w:val="00A9575B"/>
    <w:rsid w:val="00A960E5"/>
    <w:rsid w:val="00A9613E"/>
    <w:rsid w:val="00A97EC3"/>
    <w:rsid w:val="00AA03D3"/>
    <w:rsid w:val="00AA10D8"/>
    <w:rsid w:val="00AA22E6"/>
    <w:rsid w:val="00AA44EA"/>
    <w:rsid w:val="00AA6044"/>
    <w:rsid w:val="00AA729F"/>
    <w:rsid w:val="00AB0721"/>
    <w:rsid w:val="00AB082C"/>
    <w:rsid w:val="00AB09FB"/>
    <w:rsid w:val="00AB0BD2"/>
    <w:rsid w:val="00AB105C"/>
    <w:rsid w:val="00AB10B2"/>
    <w:rsid w:val="00AB2138"/>
    <w:rsid w:val="00AB27CC"/>
    <w:rsid w:val="00AB2AC3"/>
    <w:rsid w:val="00AB4A11"/>
    <w:rsid w:val="00AC03D6"/>
    <w:rsid w:val="00AC10B7"/>
    <w:rsid w:val="00AC2C4D"/>
    <w:rsid w:val="00AC2E92"/>
    <w:rsid w:val="00AC3A86"/>
    <w:rsid w:val="00AC4347"/>
    <w:rsid w:val="00AC5A64"/>
    <w:rsid w:val="00AC6549"/>
    <w:rsid w:val="00AC6ACE"/>
    <w:rsid w:val="00AC6CAF"/>
    <w:rsid w:val="00AC7C7C"/>
    <w:rsid w:val="00AD02AA"/>
    <w:rsid w:val="00AD11B6"/>
    <w:rsid w:val="00AD1C73"/>
    <w:rsid w:val="00AD20DA"/>
    <w:rsid w:val="00AD4DFC"/>
    <w:rsid w:val="00AD5611"/>
    <w:rsid w:val="00AD6C31"/>
    <w:rsid w:val="00AD9F96"/>
    <w:rsid w:val="00AE2E89"/>
    <w:rsid w:val="00AE329B"/>
    <w:rsid w:val="00AE3FC6"/>
    <w:rsid w:val="00AE5AC7"/>
    <w:rsid w:val="00AE79AF"/>
    <w:rsid w:val="00AF03FC"/>
    <w:rsid w:val="00AF1042"/>
    <w:rsid w:val="00AF222C"/>
    <w:rsid w:val="00AF23BD"/>
    <w:rsid w:val="00AF5D6E"/>
    <w:rsid w:val="00AF6563"/>
    <w:rsid w:val="00AF6B19"/>
    <w:rsid w:val="00AF6FAB"/>
    <w:rsid w:val="00AF70B3"/>
    <w:rsid w:val="00AF74FA"/>
    <w:rsid w:val="00B0000A"/>
    <w:rsid w:val="00B00E03"/>
    <w:rsid w:val="00B01276"/>
    <w:rsid w:val="00B05357"/>
    <w:rsid w:val="00B05EE2"/>
    <w:rsid w:val="00B063E1"/>
    <w:rsid w:val="00B06C01"/>
    <w:rsid w:val="00B118BC"/>
    <w:rsid w:val="00B11C91"/>
    <w:rsid w:val="00B126E2"/>
    <w:rsid w:val="00B12BDE"/>
    <w:rsid w:val="00B139A5"/>
    <w:rsid w:val="00B14828"/>
    <w:rsid w:val="00B14847"/>
    <w:rsid w:val="00B153E4"/>
    <w:rsid w:val="00B15456"/>
    <w:rsid w:val="00B16CD1"/>
    <w:rsid w:val="00B175FB"/>
    <w:rsid w:val="00B2002D"/>
    <w:rsid w:val="00B23213"/>
    <w:rsid w:val="00B24A45"/>
    <w:rsid w:val="00B24BEE"/>
    <w:rsid w:val="00B27F91"/>
    <w:rsid w:val="00B3182F"/>
    <w:rsid w:val="00B32B9F"/>
    <w:rsid w:val="00B33F0B"/>
    <w:rsid w:val="00B344D7"/>
    <w:rsid w:val="00B366A7"/>
    <w:rsid w:val="00B40362"/>
    <w:rsid w:val="00B4142B"/>
    <w:rsid w:val="00B41D27"/>
    <w:rsid w:val="00B4250A"/>
    <w:rsid w:val="00B43558"/>
    <w:rsid w:val="00B43866"/>
    <w:rsid w:val="00B4593D"/>
    <w:rsid w:val="00B47D26"/>
    <w:rsid w:val="00B47DC0"/>
    <w:rsid w:val="00B50C4E"/>
    <w:rsid w:val="00B51A57"/>
    <w:rsid w:val="00B525B6"/>
    <w:rsid w:val="00B53594"/>
    <w:rsid w:val="00B54D81"/>
    <w:rsid w:val="00B55562"/>
    <w:rsid w:val="00B55E36"/>
    <w:rsid w:val="00B56702"/>
    <w:rsid w:val="00B5759A"/>
    <w:rsid w:val="00B607F3"/>
    <w:rsid w:val="00B61F0B"/>
    <w:rsid w:val="00B63A3D"/>
    <w:rsid w:val="00B63E9C"/>
    <w:rsid w:val="00B63FDB"/>
    <w:rsid w:val="00B65773"/>
    <w:rsid w:val="00B65C0D"/>
    <w:rsid w:val="00B66BCA"/>
    <w:rsid w:val="00B67072"/>
    <w:rsid w:val="00B676DD"/>
    <w:rsid w:val="00B7184F"/>
    <w:rsid w:val="00B71960"/>
    <w:rsid w:val="00B72DCC"/>
    <w:rsid w:val="00B76EDD"/>
    <w:rsid w:val="00B772BF"/>
    <w:rsid w:val="00B83583"/>
    <w:rsid w:val="00B83DCF"/>
    <w:rsid w:val="00B88717"/>
    <w:rsid w:val="00B9192C"/>
    <w:rsid w:val="00B956A7"/>
    <w:rsid w:val="00B95CE0"/>
    <w:rsid w:val="00B96F08"/>
    <w:rsid w:val="00B97FE1"/>
    <w:rsid w:val="00BA1800"/>
    <w:rsid w:val="00BA3728"/>
    <w:rsid w:val="00BA42FD"/>
    <w:rsid w:val="00BA4BE9"/>
    <w:rsid w:val="00BA5818"/>
    <w:rsid w:val="00BA6059"/>
    <w:rsid w:val="00BA688E"/>
    <w:rsid w:val="00BA7495"/>
    <w:rsid w:val="00BB05B7"/>
    <w:rsid w:val="00BB0F3D"/>
    <w:rsid w:val="00BB0F52"/>
    <w:rsid w:val="00BB2BFB"/>
    <w:rsid w:val="00BB2E1A"/>
    <w:rsid w:val="00BB3AE5"/>
    <w:rsid w:val="00BB64EC"/>
    <w:rsid w:val="00BB6855"/>
    <w:rsid w:val="00BB7145"/>
    <w:rsid w:val="00BB7705"/>
    <w:rsid w:val="00BB7DC3"/>
    <w:rsid w:val="00BC2464"/>
    <w:rsid w:val="00BC3F1E"/>
    <w:rsid w:val="00BC3FF2"/>
    <w:rsid w:val="00BC5DEB"/>
    <w:rsid w:val="00BC70F6"/>
    <w:rsid w:val="00BD0468"/>
    <w:rsid w:val="00BD30A4"/>
    <w:rsid w:val="00BD46DD"/>
    <w:rsid w:val="00BD4EE5"/>
    <w:rsid w:val="00BE10A8"/>
    <w:rsid w:val="00BE3992"/>
    <w:rsid w:val="00BE3DB7"/>
    <w:rsid w:val="00BE4954"/>
    <w:rsid w:val="00BE556F"/>
    <w:rsid w:val="00BE5949"/>
    <w:rsid w:val="00BE7050"/>
    <w:rsid w:val="00BE75B4"/>
    <w:rsid w:val="00BE7C53"/>
    <w:rsid w:val="00BF1883"/>
    <w:rsid w:val="00BF1916"/>
    <w:rsid w:val="00BF1CB1"/>
    <w:rsid w:val="00BF2D6A"/>
    <w:rsid w:val="00BF37F9"/>
    <w:rsid w:val="00BF501A"/>
    <w:rsid w:val="00C00D27"/>
    <w:rsid w:val="00C0104A"/>
    <w:rsid w:val="00C01C16"/>
    <w:rsid w:val="00C0230D"/>
    <w:rsid w:val="00C02574"/>
    <w:rsid w:val="00C042A4"/>
    <w:rsid w:val="00C04A98"/>
    <w:rsid w:val="00C0634B"/>
    <w:rsid w:val="00C066DA"/>
    <w:rsid w:val="00C10197"/>
    <w:rsid w:val="00C10513"/>
    <w:rsid w:val="00C1065A"/>
    <w:rsid w:val="00C11855"/>
    <w:rsid w:val="00C11D1D"/>
    <w:rsid w:val="00C13035"/>
    <w:rsid w:val="00C13172"/>
    <w:rsid w:val="00C138A8"/>
    <w:rsid w:val="00C15D4C"/>
    <w:rsid w:val="00C174BF"/>
    <w:rsid w:val="00C17FE8"/>
    <w:rsid w:val="00C17FEA"/>
    <w:rsid w:val="00C20509"/>
    <w:rsid w:val="00C2325A"/>
    <w:rsid w:val="00C31F79"/>
    <w:rsid w:val="00C3208F"/>
    <w:rsid w:val="00C3595E"/>
    <w:rsid w:val="00C35D5B"/>
    <w:rsid w:val="00C3611C"/>
    <w:rsid w:val="00C37569"/>
    <w:rsid w:val="00C409C6"/>
    <w:rsid w:val="00C40F90"/>
    <w:rsid w:val="00C41C1D"/>
    <w:rsid w:val="00C41C8B"/>
    <w:rsid w:val="00C42D22"/>
    <w:rsid w:val="00C46171"/>
    <w:rsid w:val="00C4728C"/>
    <w:rsid w:val="00C47D64"/>
    <w:rsid w:val="00C4B4AD"/>
    <w:rsid w:val="00C5017F"/>
    <w:rsid w:val="00C53A83"/>
    <w:rsid w:val="00C53CF6"/>
    <w:rsid w:val="00C55114"/>
    <w:rsid w:val="00C55257"/>
    <w:rsid w:val="00C56C30"/>
    <w:rsid w:val="00C60045"/>
    <w:rsid w:val="00C606CC"/>
    <w:rsid w:val="00C62688"/>
    <w:rsid w:val="00C656B5"/>
    <w:rsid w:val="00C65C83"/>
    <w:rsid w:val="00C65E1B"/>
    <w:rsid w:val="00C66362"/>
    <w:rsid w:val="00C66BBB"/>
    <w:rsid w:val="00C7127F"/>
    <w:rsid w:val="00C739FE"/>
    <w:rsid w:val="00C76336"/>
    <w:rsid w:val="00C76C55"/>
    <w:rsid w:val="00C8027A"/>
    <w:rsid w:val="00C80335"/>
    <w:rsid w:val="00C82D62"/>
    <w:rsid w:val="00C85D6B"/>
    <w:rsid w:val="00C8633E"/>
    <w:rsid w:val="00C86E9E"/>
    <w:rsid w:val="00C878F2"/>
    <w:rsid w:val="00C903FE"/>
    <w:rsid w:val="00C90B4F"/>
    <w:rsid w:val="00C9163D"/>
    <w:rsid w:val="00C927C0"/>
    <w:rsid w:val="00C92AF8"/>
    <w:rsid w:val="00C95650"/>
    <w:rsid w:val="00C963BE"/>
    <w:rsid w:val="00CA0591"/>
    <w:rsid w:val="00CA0D37"/>
    <w:rsid w:val="00CA2B2B"/>
    <w:rsid w:val="00CA4662"/>
    <w:rsid w:val="00CA5A24"/>
    <w:rsid w:val="00CA6282"/>
    <w:rsid w:val="00CA6C23"/>
    <w:rsid w:val="00CA7A8C"/>
    <w:rsid w:val="00CA7C38"/>
    <w:rsid w:val="00CB0BCD"/>
    <w:rsid w:val="00CB27A2"/>
    <w:rsid w:val="00CB28A7"/>
    <w:rsid w:val="00CB313E"/>
    <w:rsid w:val="00CB3757"/>
    <w:rsid w:val="00CB4722"/>
    <w:rsid w:val="00CB4F70"/>
    <w:rsid w:val="00CB721E"/>
    <w:rsid w:val="00CB73BA"/>
    <w:rsid w:val="00CB7549"/>
    <w:rsid w:val="00CB7BB9"/>
    <w:rsid w:val="00CC20C4"/>
    <w:rsid w:val="00CC216A"/>
    <w:rsid w:val="00CC5532"/>
    <w:rsid w:val="00CC5DB5"/>
    <w:rsid w:val="00CC642C"/>
    <w:rsid w:val="00CC65E2"/>
    <w:rsid w:val="00CD17A1"/>
    <w:rsid w:val="00CD266F"/>
    <w:rsid w:val="00CD26E7"/>
    <w:rsid w:val="00CD2DAA"/>
    <w:rsid w:val="00CD388E"/>
    <w:rsid w:val="00CD49B3"/>
    <w:rsid w:val="00CD4F8F"/>
    <w:rsid w:val="00CD50AB"/>
    <w:rsid w:val="00CD688E"/>
    <w:rsid w:val="00CD7E9F"/>
    <w:rsid w:val="00CE0DB4"/>
    <w:rsid w:val="00CE0E16"/>
    <w:rsid w:val="00CE1472"/>
    <w:rsid w:val="00CE2331"/>
    <w:rsid w:val="00CE25FB"/>
    <w:rsid w:val="00CE3D1F"/>
    <w:rsid w:val="00CE577C"/>
    <w:rsid w:val="00CE5920"/>
    <w:rsid w:val="00CE7DD2"/>
    <w:rsid w:val="00CE7EA7"/>
    <w:rsid w:val="00CF023C"/>
    <w:rsid w:val="00CF0ADF"/>
    <w:rsid w:val="00CF18FE"/>
    <w:rsid w:val="00CF3E4B"/>
    <w:rsid w:val="00CF6197"/>
    <w:rsid w:val="00CF6D66"/>
    <w:rsid w:val="00CF710B"/>
    <w:rsid w:val="00D0100F"/>
    <w:rsid w:val="00D01DE2"/>
    <w:rsid w:val="00D01EAC"/>
    <w:rsid w:val="00D0220D"/>
    <w:rsid w:val="00D0258E"/>
    <w:rsid w:val="00D05FFC"/>
    <w:rsid w:val="00D07A6A"/>
    <w:rsid w:val="00D11A63"/>
    <w:rsid w:val="00D12286"/>
    <w:rsid w:val="00D129EB"/>
    <w:rsid w:val="00D12A20"/>
    <w:rsid w:val="00D14361"/>
    <w:rsid w:val="00D17062"/>
    <w:rsid w:val="00D17105"/>
    <w:rsid w:val="00D216F9"/>
    <w:rsid w:val="00D2184A"/>
    <w:rsid w:val="00D23D49"/>
    <w:rsid w:val="00D244AF"/>
    <w:rsid w:val="00D24A22"/>
    <w:rsid w:val="00D250C3"/>
    <w:rsid w:val="00D253FD"/>
    <w:rsid w:val="00D25FCB"/>
    <w:rsid w:val="00D26364"/>
    <w:rsid w:val="00D271DD"/>
    <w:rsid w:val="00D27E2A"/>
    <w:rsid w:val="00D3247A"/>
    <w:rsid w:val="00D348E4"/>
    <w:rsid w:val="00D34DF3"/>
    <w:rsid w:val="00D35199"/>
    <w:rsid w:val="00D353F1"/>
    <w:rsid w:val="00D35B19"/>
    <w:rsid w:val="00D36E7F"/>
    <w:rsid w:val="00D370B8"/>
    <w:rsid w:val="00D3743A"/>
    <w:rsid w:val="00D40148"/>
    <w:rsid w:val="00D42340"/>
    <w:rsid w:val="00D43AC9"/>
    <w:rsid w:val="00D43CBA"/>
    <w:rsid w:val="00D4565E"/>
    <w:rsid w:val="00D45F0B"/>
    <w:rsid w:val="00D461D1"/>
    <w:rsid w:val="00D47A03"/>
    <w:rsid w:val="00D47F08"/>
    <w:rsid w:val="00D500E6"/>
    <w:rsid w:val="00D50375"/>
    <w:rsid w:val="00D5038E"/>
    <w:rsid w:val="00D50B80"/>
    <w:rsid w:val="00D51391"/>
    <w:rsid w:val="00D51B8B"/>
    <w:rsid w:val="00D56060"/>
    <w:rsid w:val="00D576C7"/>
    <w:rsid w:val="00D57949"/>
    <w:rsid w:val="00D613D8"/>
    <w:rsid w:val="00D6275E"/>
    <w:rsid w:val="00D64F03"/>
    <w:rsid w:val="00D659D5"/>
    <w:rsid w:val="00D664C4"/>
    <w:rsid w:val="00D6700F"/>
    <w:rsid w:val="00D707A0"/>
    <w:rsid w:val="00D7134D"/>
    <w:rsid w:val="00D734B7"/>
    <w:rsid w:val="00D74B2A"/>
    <w:rsid w:val="00D8110C"/>
    <w:rsid w:val="00D81FDF"/>
    <w:rsid w:val="00D86348"/>
    <w:rsid w:val="00D8657E"/>
    <w:rsid w:val="00D87563"/>
    <w:rsid w:val="00D87BEF"/>
    <w:rsid w:val="00D87DFA"/>
    <w:rsid w:val="00D91028"/>
    <w:rsid w:val="00D932B8"/>
    <w:rsid w:val="00D94534"/>
    <w:rsid w:val="00D96C47"/>
    <w:rsid w:val="00D97F4C"/>
    <w:rsid w:val="00DA19D9"/>
    <w:rsid w:val="00DA20B5"/>
    <w:rsid w:val="00DA430E"/>
    <w:rsid w:val="00DA45F2"/>
    <w:rsid w:val="00DA5552"/>
    <w:rsid w:val="00DA5DA4"/>
    <w:rsid w:val="00DB0113"/>
    <w:rsid w:val="00DB1F72"/>
    <w:rsid w:val="00DB2638"/>
    <w:rsid w:val="00DB7FC8"/>
    <w:rsid w:val="00DC2AD0"/>
    <w:rsid w:val="00DC3A55"/>
    <w:rsid w:val="00DC4E07"/>
    <w:rsid w:val="00DD0826"/>
    <w:rsid w:val="00DD22BC"/>
    <w:rsid w:val="00DD2A23"/>
    <w:rsid w:val="00DD4E69"/>
    <w:rsid w:val="00DD691B"/>
    <w:rsid w:val="00DE2342"/>
    <w:rsid w:val="00DE2B7F"/>
    <w:rsid w:val="00DE49B4"/>
    <w:rsid w:val="00DE75B2"/>
    <w:rsid w:val="00DF02E9"/>
    <w:rsid w:val="00DF220B"/>
    <w:rsid w:val="00DF3FFC"/>
    <w:rsid w:val="00DF4745"/>
    <w:rsid w:val="00DF7502"/>
    <w:rsid w:val="00DF7BD4"/>
    <w:rsid w:val="00E0003F"/>
    <w:rsid w:val="00E02D37"/>
    <w:rsid w:val="00E02D7D"/>
    <w:rsid w:val="00E10D4A"/>
    <w:rsid w:val="00E11087"/>
    <w:rsid w:val="00E11172"/>
    <w:rsid w:val="00E121CD"/>
    <w:rsid w:val="00E13695"/>
    <w:rsid w:val="00E14416"/>
    <w:rsid w:val="00E15233"/>
    <w:rsid w:val="00E1543B"/>
    <w:rsid w:val="00E15463"/>
    <w:rsid w:val="00E17161"/>
    <w:rsid w:val="00E21F12"/>
    <w:rsid w:val="00E241DF"/>
    <w:rsid w:val="00E242FA"/>
    <w:rsid w:val="00E2532C"/>
    <w:rsid w:val="00E27566"/>
    <w:rsid w:val="00E30AD3"/>
    <w:rsid w:val="00E36DB0"/>
    <w:rsid w:val="00E3E3D9"/>
    <w:rsid w:val="00E40FC7"/>
    <w:rsid w:val="00E4116B"/>
    <w:rsid w:val="00E43DAE"/>
    <w:rsid w:val="00E45055"/>
    <w:rsid w:val="00E46755"/>
    <w:rsid w:val="00E46B43"/>
    <w:rsid w:val="00E51642"/>
    <w:rsid w:val="00E51E78"/>
    <w:rsid w:val="00E53945"/>
    <w:rsid w:val="00E56A89"/>
    <w:rsid w:val="00E57120"/>
    <w:rsid w:val="00E57FBD"/>
    <w:rsid w:val="00E60023"/>
    <w:rsid w:val="00E62047"/>
    <w:rsid w:val="00E63E2A"/>
    <w:rsid w:val="00E63EB5"/>
    <w:rsid w:val="00E64EB8"/>
    <w:rsid w:val="00E66601"/>
    <w:rsid w:val="00E700AD"/>
    <w:rsid w:val="00E70535"/>
    <w:rsid w:val="00E706C7"/>
    <w:rsid w:val="00E713A1"/>
    <w:rsid w:val="00E729FE"/>
    <w:rsid w:val="00E72ACE"/>
    <w:rsid w:val="00E736C3"/>
    <w:rsid w:val="00E73FA9"/>
    <w:rsid w:val="00E756FA"/>
    <w:rsid w:val="00E75B2A"/>
    <w:rsid w:val="00E80D71"/>
    <w:rsid w:val="00E83B6E"/>
    <w:rsid w:val="00E83CE3"/>
    <w:rsid w:val="00E840D5"/>
    <w:rsid w:val="00E913B1"/>
    <w:rsid w:val="00E93E8A"/>
    <w:rsid w:val="00E951A3"/>
    <w:rsid w:val="00E96B85"/>
    <w:rsid w:val="00E97424"/>
    <w:rsid w:val="00E97E09"/>
    <w:rsid w:val="00EA0F2E"/>
    <w:rsid w:val="00EA19E6"/>
    <w:rsid w:val="00EA23FC"/>
    <w:rsid w:val="00EA2BC0"/>
    <w:rsid w:val="00EA357D"/>
    <w:rsid w:val="00EA583E"/>
    <w:rsid w:val="00EB06AC"/>
    <w:rsid w:val="00EB099B"/>
    <w:rsid w:val="00EB26BF"/>
    <w:rsid w:val="00EB2B45"/>
    <w:rsid w:val="00EB316E"/>
    <w:rsid w:val="00EB3E1E"/>
    <w:rsid w:val="00EB64F8"/>
    <w:rsid w:val="00EB7318"/>
    <w:rsid w:val="00EC071A"/>
    <w:rsid w:val="00EC0AC5"/>
    <w:rsid w:val="00EC585C"/>
    <w:rsid w:val="00EC63F7"/>
    <w:rsid w:val="00EC6C40"/>
    <w:rsid w:val="00EC6CF1"/>
    <w:rsid w:val="00EC7201"/>
    <w:rsid w:val="00ECF8D7"/>
    <w:rsid w:val="00ED1231"/>
    <w:rsid w:val="00ED179D"/>
    <w:rsid w:val="00ED18BE"/>
    <w:rsid w:val="00ED464D"/>
    <w:rsid w:val="00ED4C9E"/>
    <w:rsid w:val="00EE07E6"/>
    <w:rsid w:val="00EE1104"/>
    <w:rsid w:val="00EE166E"/>
    <w:rsid w:val="00EE1EC6"/>
    <w:rsid w:val="00EE3AAA"/>
    <w:rsid w:val="00EE3B78"/>
    <w:rsid w:val="00EE3F94"/>
    <w:rsid w:val="00EE4D35"/>
    <w:rsid w:val="00EE6661"/>
    <w:rsid w:val="00EE720E"/>
    <w:rsid w:val="00EE7E7C"/>
    <w:rsid w:val="00EF151E"/>
    <w:rsid w:val="00EF2021"/>
    <w:rsid w:val="00EF21C3"/>
    <w:rsid w:val="00EF5CC0"/>
    <w:rsid w:val="00EF6197"/>
    <w:rsid w:val="00F006C9"/>
    <w:rsid w:val="00F02784"/>
    <w:rsid w:val="00F0329E"/>
    <w:rsid w:val="00F03E45"/>
    <w:rsid w:val="00F04A1D"/>
    <w:rsid w:val="00F06961"/>
    <w:rsid w:val="00F11834"/>
    <w:rsid w:val="00F11F6A"/>
    <w:rsid w:val="00F13DDD"/>
    <w:rsid w:val="00F15A1D"/>
    <w:rsid w:val="00F16110"/>
    <w:rsid w:val="00F16D11"/>
    <w:rsid w:val="00F17F84"/>
    <w:rsid w:val="00F2037E"/>
    <w:rsid w:val="00F20D3D"/>
    <w:rsid w:val="00F22E45"/>
    <w:rsid w:val="00F275E7"/>
    <w:rsid w:val="00F32C17"/>
    <w:rsid w:val="00F32D6E"/>
    <w:rsid w:val="00F33DFE"/>
    <w:rsid w:val="00F342A9"/>
    <w:rsid w:val="00F348AA"/>
    <w:rsid w:val="00F35007"/>
    <w:rsid w:val="00F3521C"/>
    <w:rsid w:val="00F35708"/>
    <w:rsid w:val="00F41EB6"/>
    <w:rsid w:val="00F4338E"/>
    <w:rsid w:val="00F43BD1"/>
    <w:rsid w:val="00F441C0"/>
    <w:rsid w:val="00F536D7"/>
    <w:rsid w:val="00F548D1"/>
    <w:rsid w:val="00F55C1C"/>
    <w:rsid w:val="00F56277"/>
    <w:rsid w:val="00F56D8A"/>
    <w:rsid w:val="00F56D9B"/>
    <w:rsid w:val="00F615A0"/>
    <w:rsid w:val="00F61742"/>
    <w:rsid w:val="00F61B1D"/>
    <w:rsid w:val="00F625EA"/>
    <w:rsid w:val="00F63ECD"/>
    <w:rsid w:val="00F647BA"/>
    <w:rsid w:val="00F65C4C"/>
    <w:rsid w:val="00F65F53"/>
    <w:rsid w:val="00F702D2"/>
    <w:rsid w:val="00F706D7"/>
    <w:rsid w:val="00F7074D"/>
    <w:rsid w:val="00F71F45"/>
    <w:rsid w:val="00F74552"/>
    <w:rsid w:val="00F76809"/>
    <w:rsid w:val="00F76BCC"/>
    <w:rsid w:val="00F76D18"/>
    <w:rsid w:val="00F81098"/>
    <w:rsid w:val="00F822DB"/>
    <w:rsid w:val="00F82C22"/>
    <w:rsid w:val="00F84545"/>
    <w:rsid w:val="00F85554"/>
    <w:rsid w:val="00F86214"/>
    <w:rsid w:val="00F86C97"/>
    <w:rsid w:val="00F9150E"/>
    <w:rsid w:val="00F92BE3"/>
    <w:rsid w:val="00F935B9"/>
    <w:rsid w:val="00F93E5B"/>
    <w:rsid w:val="00F93FAB"/>
    <w:rsid w:val="00F9515F"/>
    <w:rsid w:val="00F96D24"/>
    <w:rsid w:val="00FA0DC1"/>
    <w:rsid w:val="00FA2D06"/>
    <w:rsid w:val="00FA433A"/>
    <w:rsid w:val="00FA4B77"/>
    <w:rsid w:val="00FA6445"/>
    <w:rsid w:val="00FA64C2"/>
    <w:rsid w:val="00FA7583"/>
    <w:rsid w:val="00FB025C"/>
    <w:rsid w:val="00FB1804"/>
    <w:rsid w:val="00FB309C"/>
    <w:rsid w:val="00FB4452"/>
    <w:rsid w:val="00FB53EF"/>
    <w:rsid w:val="00FC3198"/>
    <w:rsid w:val="00FC4DAD"/>
    <w:rsid w:val="00FC55F0"/>
    <w:rsid w:val="00FC5F22"/>
    <w:rsid w:val="00FC690E"/>
    <w:rsid w:val="00FC78C2"/>
    <w:rsid w:val="00FD0215"/>
    <w:rsid w:val="00FD1E58"/>
    <w:rsid w:val="00FD2C61"/>
    <w:rsid w:val="00FD5185"/>
    <w:rsid w:val="00FE06C2"/>
    <w:rsid w:val="00FE38D6"/>
    <w:rsid w:val="00FE42B4"/>
    <w:rsid w:val="00FE6627"/>
    <w:rsid w:val="00FE7003"/>
    <w:rsid w:val="00FE73F2"/>
    <w:rsid w:val="00FF0651"/>
    <w:rsid w:val="00FF1388"/>
    <w:rsid w:val="00FF1635"/>
    <w:rsid w:val="00FF1D09"/>
    <w:rsid w:val="00FF4BD6"/>
    <w:rsid w:val="00FF5357"/>
    <w:rsid w:val="00FF56FB"/>
    <w:rsid w:val="00FF6495"/>
    <w:rsid w:val="00FF6E29"/>
    <w:rsid w:val="010BEF07"/>
    <w:rsid w:val="010D8FE0"/>
    <w:rsid w:val="01241232"/>
    <w:rsid w:val="012F6460"/>
    <w:rsid w:val="0130083A"/>
    <w:rsid w:val="0133DB0F"/>
    <w:rsid w:val="013A7ECA"/>
    <w:rsid w:val="01637C95"/>
    <w:rsid w:val="016778FE"/>
    <w:rsid w:val="017DCB88"/>
    <w:rsid w:val="0180604E"/>
    <w:rsid w:val="0182FC28"/>
    <w:rsid w:val="0198DA2F"/>
    <w:rsid w:val="019E4CF9"/>
    <w:rsid w:val="01A4AD37"/>
    <w:rsid w:val="01B7092A"/>
    <w:rsid w:val="01BA67D7"/>
    <w:rsid w:val="01C54976"/>
    <w:rsid w:val="01CB236A"/>
    <w:rsid w:val="01FF12B5"/>
    <w:rsid w:val="0210CD42"/>
    <w:rsid w:val="02767095"/>
    <w:rsid w:val="029C7462"/>
    <w:rsid w:val="02A87B53"/>
    <w:rsid w:val="02EA2E46"/>
    <w:rsid w:val="0313FD37"/>
    <w:rsid w:val="0314B4B5"/>
    <w:rsid w:val="031CAA1A"/>
    <w:rsid w:val="03413A14"/>
    <w:rsid w:val="034E093A"/>
    <w:rsid w:val="0360DF89"/>
    <w:rsid w:val="037E4B1B"/>
    <w:rsid w:val="0380FE20"/>
    <w:rsid w:val="03825708"/>
    <w:rsid w:val="038BE101"/>
    <w:rsid w:val="038E1C75"/>
    <w:rsid w:val="03B02274"/>
    <w:rsid w:val="03BCF87A"/>
    <w:rsid w:val="0409BFF2"/>
    <w:rsid w:val="041E5C40"/>
    <w:rsid w:val="0445E26E"/>
    <w:rsid w:val="045CDDFD"/>
    <w:rsid w:val="045FF8E8"/>
    <w:rsid w:val="04747C47"/>
    <w:rsid w:val="04779BB9"/>
    <w:rsid w:val="04861897"/>
    <w:rsid w:val="04AFB133"/>
    <w:rsid w:val="04C45350"/>
    <w:rsid w:val="04C5A199"/>
    <w:rsid w:val="04CE835E"/>
    <w:rsid w:val="04DCECF4"/>
    <w:rsid w:val="04E175BB"/>
    <w:rsid w:val="04EE636D"/>
    <w:rsid w:val="04F0E2EA"/>
    <w:rsid w:val="05002447"/>
    <w:rsid w:val="0503DF04"/>
    <w:rsid w:val="05045071"/>
    <w:rsid w:val="051E163B"/>
    <w:rsid w:val="052F559F"/>
    <w:rsid w:val="0555A1AB"/>
    <w:rsid w:val="055621AD"/>
    <w:rsid w:val="0563C3D9"/>
    <w:rsid w:val="058BEDC7"/>
    <w:rsid w:val="05A92B61"/>
    <w:rsid w:val="05B91C30"/>
    <w:rsid w:val="05C7A206"/>
    <w:rsid w:val="05EEB254"/>
    <w:rsid w:val="061BCD32"/>
    <w:rsid w:val="063BC8EA"/>
    <w:rsid w:val="06422A2F"/>
    <w:rsid w:val="065A27FD"/>
    <w:rsid w:val="065C5193"/>
    <w:rsid w:val="065E1719"/>
    <w:rsid w:val="0672BD86"/>
    <w:rsid w:val="0690E137"/>
    <w:rsid w:val="06B1C295"/>
    <w:rsid w:val="06C6C843"/>
    <w:rsid w:val="06E58A11"/>
    <w:rsid w:val="070A86E9"/>
    <w:rsid w:val="071FD6D4"/>
    <w:rsid w:val="0724E361"/>
    <w:rsid w:val="073918A7"/>
    <w:rsid w:val="07448AF6"/>
    <w:rsid w:val="07461215"/>
    <w:rsid w:val="074881F2"/>
    <w:rsid w:val="0749FAE8"/>
    <w:rsid w:val="074A9111"/>
    <w:rsid w:val="076A6BF4"/>
    <w:rsid w:val="07772B79"/>
    <w:rsid w:val="077A38D5"/>
    <w:rsid w:val="078F765B"/>
    <w:rsid w:val="079F4ED6"/>
    <w:rsid w:val="07AB9058"/>
    <w:rsid w:val="07E4ADA1"/>
    <w:rsid w:val="07E73E87"/>
    <w:rsid w:val="080A9B39"/>
    <w:rsid w:val="083E8496"/>
    <w:rsid w:val="0868D45D"/>
    <w:rsid w:val="087D8ED1"/>
    <w:rsid w:val="088C448F"/>
    <w:rsid w:val="0894FF4A"/>
    <w:rsid w:val="08B6076E"/>
    <w:rsid w:val="08C792C9"/>
    <w:rsid w:val="08CD432C"/>
    <w:rsid w:val="08D41C87"/>
    <w:rsid w:val="08DFD2D4"/>
    <w:rsid w:val="09317E3C"/>
    <w:rsid w:val="0937122F"/>
    <w:rsid w:val="0953BBAD"/>
    <w:rsid w:val="09811767"/>
    <w:rsid w:val="09D137E5"/>
    <w:rsid w:val="09E41850"/>
    <w:rsid w:val="09E54274"/>
    <w:rsid w:val="0A079370"/>
    <w:rsid w:val="0A6BD1AE"/>
    <w:rsid w:val="0A8CA02D"/>
    <w:rsid w:val="0A984E5A"/>
    <w:rsid w:val="0AD06769"/>
    <w:rsid w:val="0AD5AD46"/>
    <w:rsid w:val="0AE2D361"/>
    <w:rsid w:val="0AF55873"/>
    <w:rsid w:val="0B19072F"/>
    <w:rsid w:val="0B2139F1"/>
    <w:rsid w:val="0B22A57F"/>
    <w:rsid w:val="0B34A7A8"/>
    <w:rsid w:val="0B3E1982"/>
    <w:rsid w:val="0B46CBEA"/>
    <w:rsid w:val="0B4C87C3"/>
    <w:rsid w:val="0B4E2E43"/>
    <w:rsid w:val="0B7FC2EB"/>
    <w:rsid w:val="0BA31017"/>
    <w:rsid w:val="0BB3B39C"/>
    <w:rsid w:val="0C0C9CF6"/>
    <w:rsid w:val="0C18CADE"/>
    <w:rsid w:val="0C1BEBCC"/>
    <w:rsid w:val="0C224F03"/>
    <w:rsid w:val="0C33A462"/>
    <w:rsid w:val="0C47D4E3"/>
    <w:rsid w:val="0C4929E8"/>
    <w:rsid w:val="0C5091AD"/>
    <w:rsid w:val="0C5EF8CE"/>
    <w:rsid w:val="0C6F6860"/>
    <w:rsid w:val="0C7C00AB"/>
    <w:rsid w:val="0CDB8715"/>
    <w:rsid w:val="0CFE9DFD"/>
    <w:rsid w:val="0D0BE8C7"/>
    <w:rsid w:val="0D1FEDB0"/>
    <w:rsid w:val="0D242B4B"/>
    <w:rsid w:val="0D6F2373"/>
    <w:rsid w:val="0D6F37A4"/>
    <w:rsid w:val="0DA446C2"/>
    <w:rsid w:val="0DA596C7"/>
    <w:rsid w:val="0DB199A4"/>
    <w:rsid w:val="0DBF3195"/>
    <w:rsid w:val="0DC7E620"/>
    <w:rsid w:val="0DF2DF81"/>
    <w:rsid w:val="0DF3A270"/>
    <w:rsid w:val="0DFC6864"/>
    <w:rsid w:val="0E07FF97"/>
    <w:rsid w:val="0E0C1358"/>
    <w:rsid w:val="0E1A4938"/>
    <w:rsid w:val="0E31E595"/>
    <w:rsid w:val="0E3314A2"/>
    <w:rsid w:val="0E37FD4C"/>
    <w:rsid w:val="0E44D070"/>
    <w:rsid w:val="0E44F246"/>
    <w:rsid w:val="0E5F7274"/>
    <w:rsid w:val="0E65E03B"/>
    <w:rsid w:val="0E6A3BE1"/>
    <w:rsid w:val="0E6F7AAD"/>
    <w:rsid w:val="0E85A311"/>
    <w:rsid w:val="0E9980A9"/>
    <w:rsid w:val="0ED9C9EF"/>
    <w:rsid w:val="0EDCB8D5"/>
    <w:rsid w:val="0EF2C96C"/>
    <w:rsid w:val="0EF45014"/>
    <w:rsid w:val="0EFE9056"/>
    <w:rsid w:val="0F25BB98"/>
    <w:rsid w:val="0F78D7A8"/>
    <w:rsid w:val="0F7EF1B3"/>
    <w:rsid w:val="0F7F6BBF"/>
    <w:rsid w:val="0F81885E"/>
    <w:rsid w:val="0FA6C87A"/>
    <w:rsid w:val="0FBB861D"/>
    <w:rsid w:val="0FC22BEF"/>
    <w:rsid w:val="0FD7AFE2"/>
    <w:rsid w:val="0FDA7C97"/>
    <w:rsid w:val="0FDD4A2F"/>
    <w:rsid w:val="0FF215D9"/>
    <w:rsid w:val="0FF240F4"/>
    <w:rsid w:val="0FF38062"/>
    <w:rsid w:val="10140CAC"/>
    <w:rsid w:val="101AF78A"/>
    <w:rsid w:val="102F358D"/>
    <w:rsid w:val="1030CD3C"/>
    <w:rsid w:val="1052DADF"/>
    <w:rsid w:val="105DEAEF"/>
    <w:rsid w:val="10650353"/>
    <w:rsid w:val="1070FFC0"/>
    <w:rsid w:val="10745182"/>
    <w:rsid w:val="108BF760"/>
    <w:rsid w:val="109C2A6A"/>
    <w:rsid w:val="10B82A92"/>
    <w:rsid w:val="10D71DD3"/>
    <w:rsid w:val="10D72A81"/>
    <w:rsid w:val="10EA7009"/>
    <w:rsid w:val="1104A5FB"/>
    <w:rsid w:val="110758ED"/>
    <w:rsid w:val="112CEF0A"/>
    <w:rsid w:val="1173BFC9"/>
    <w:rsid w:val="117E83D3"/>
    <w:rsid w:val="11893CAE"/>
    <w:rsid w:val="118B5265"/>
    <w:rsid w:val="11A46CC5"/>
    <w:rsid w:val="11A6DA48"/>
    <w:rsid w:val="11EDCB5F"/>
    <w:rsid w:val="11F304B8"/>
    <w:rsid w:val="12062CC6"/>
    <w:rsid w:val="1206BAF8"/>
    <w:rsid w:val="121333B0"/>
    <w:rsid w:val="123C530E"/>
    <w:rsid w:val="12436CF2"/>
    <w:rsid w:val="124EFA5C"/>
    <w:rsid w:val="12595D26"/>
    <w:rsid w:val="125B5CC4"/>
    <w:rsid w:val="126CF3F8"/>
    <w:rsid w:val="126EF7FD"/>
    <w:rsid w:val="128766BE"/>
    <w:rsid w:val="12ACFB16"/>
    <w:rsid w:val="12B253C8"/>
    <w:rsid w:val="12C0021B"/>
    <w:rsid w:val="12D083B6"/>
    <w:rsid w:val="12EA867C"/>
    <w:rsid w:val="12EB3BA4"/>
    <w:rsid w:val="12EBBA93"/>
    <w:rsid w:val="12F92AF8"/>
    <w:rsid w:val="1305E5FD"/>
    <w:rsid w:val="131FF38F"/>
    <w:rsid w:val="13796CB4"/>
    <w:rsid w:val="138FB8C7"/>
    <w:rsid w:val="1392A537"/>
    <w:rsid w:val="139DC853"/>
    <w:rsid w:val="13A09302"/>
    <w:rsid w:val="13A260A4"/>
    <w:rsid w:val="13A817DD"/>
    <w:rsid w:val="13ABEB57"/>
    <w:rsid w:val="13B90FB0"/>
    <w:rsid w:val="13C7D36C"/>
    <w:rsid w:val="13D35C7C"/>
    <w:rsid w:val="13D3857C"/>
    <w:rsid w:val="13D777B6"/>
    <w:rsid w:val="13E8E627"/>
    <w:rsid w:val="13F3A613"/>
    <w:rsid w:val="140F4A86"/>
    <w:rsid w:val="14347730"/>
    <w:rsid w:val="1443C5A0"/>
    <w:rsid w:val="1448447E"/>
    <w:rsid w:val="1452B24A"/>
    <w:rsid w:val="145D39F0"/>
    <w:rsid w:val="147356C1"/>
    <w:rsid w:val="14752CDF"/>
    <w:rsid w:val="1486E145"/>
    <w:rsid w:val="1488301E"/>
    <w:rsid w:val="14970E26"/>
    <w:rsid w:val="14CD2CC8"/>
    <w:rsid w:val="14F39726"/>
    <w:rsid w:val="14FFC675"/>
    <w:rsid w:val="151499E3"/>
    <w:rsid w:val="1517CC23"/>
    <w:rsid w:val="15486B47"/>
    <w:rsid w:val="1574CBF0"/>
    <w:rsid w:val="1583527F"/>
    <w:rsid w:val="15875671"/>
    <w:rsid w:val="159D5B6B"/>
    <w:rsid w:val="159E16EC"/>
    <w:rsid w:val="15A0BC9E"/>
    <w:rsid w:val="15A6EC75"/>
    <w:rsid w:val="15AAF767"/>
    <w:rsid w:val="15B6A20C"/>
    <w:rsid w:val="15F37C34"/>
    <w:rsid w:val="15F6AAA9"/>
    <w:rsid w:val="1618E545"/>
    <w:rsid w:val="161F828E"/>
    <w:rsid w:val="16247895"/>
    <w:rsid w:val="1625BF7C"/>
    <w:rsid w:val="165AE6A4"/>
    <w:rsid w:val="1675CF48"/>
    <w:rsid w:val="1677E8DD"/>
    <w:rsid w:val="1693EBAE"/>
    <w:rsid w:val="16B14899"/>
    <w:rsid w:val="16C511FB"/>
    <w:rsid w:val="16CA618A"/>
    <w:rsid w:val="16D6CB77"/>
    <w:rsid w:val="16DB5924"/>
    <w:rsid w:val="16E7049B"/>
    <w:rsid w:val="1715D105"/>
    <w:rsid w:val="174217C1"/>
    <w:rsid w:val="174D58B4"/>
    <w:rsid w:val="1761DD30"/>
    <w:rsid w:val="176D0387"/>
    <w:rsid w:val="177EE658"/>
    <w:rsid w:val="17858555"/>
    <w:rsid w:val="178A6CE9"/>
    <w:rsid w:val="17B1C0D1"/>
    <w:rsid w:val="17B9FAC8"/>
    <w:rsid w:val="17C9E0BA"/>
    <w:rsid w:val="17D01737"/>
    <w:rsid w:val="17D21969"/>
    <w:rsid w:val="17DF5B51"/>
    <w:rsid w:val="180920BD"/>
    <w:rsid w:val="180D33AB"/>
    <w:rsid w:val="180FBDB9"/>
    <w:rsid w:val="18136381"/>
    <w:rsid w:val="1815A572"/>
    <w:rsid w:val="182331B9"/>
    <w:rsid w:val="18345859"/>
    <w:rsid w:val="186EF10A"/>
    <w:rsid w:val="1873AC70"/>
    <w:rsid w:val="18ACF8BF"/>
    <w:rsid w:val="18BA43D6"/>
    <w:rsid w:val="19170150"/>
    <w:rsid w:val="193D1CEC"/>
    <w:rsid w:val="19512646"/>
    <w:rsid w:val="19672BDC"/>
    <w:rsid w:val="196DA326"/>
    <w:rsid w:val="196E82DE"/>
    <w:rsid w:val="197206F7"/>
    <w:rsid w:val="19784397"/>
    <w:rsid w:val="198E02BB"/>
    <w:rsid w:val="1994D1F3"/>
    <w:rsid w:val="19BFB628"/>
    <w:rsid w:val="19E1F05A"/>
    <w:rsid w:val="19E96BDA"/>
    <w:rsid w:val="1A0E8FE7"/>
    <w:rsid w:val="1A18AB08"/>
    <w:rsid w:val="1A28B7F4"/>
    <w:rsid w:val="1A2FE2C5"/>
    <w:rsid w:val="1A3F5028"/>
    <w:rsid w:val="1A4E8E38"/>
    <w:rsid w:val="1A53D12B"/>
    <w:rsid w:val="1A7377B1"/>
    <w:rsid w:val="1A7AD140"/>
    <w:rsid w:val="1A9968CD"/>
    <w:rsid w:val="1AA2B5B9"/>
    <w:rsid w:val="1AB3992A"/>
    <w:rsid w:val="1AD07B90"/>
    <w:rsid w:val="1AE28F19"/>
    <w:rsid w:val="1AEFD8A0"/>
    <w:rsid w:val="1B031A22"/>
    <w:rsid w:val="1B03CC7C"/>
    <w:rsid w:val="1B29F7A4"/>
    <w:rsid w:val="1B2A8301"/>
    <w:rsid w:val="1B63B20F"/>
    <w:rsid w:val="1B6AA87C"/>
    <w:rsid w:val="1B6FED9B"/>
    <w:rsid w:val="1B72EA66"/>
    <w:rsid w:val="1B8726F4"/>
    <w:rsid w:val="1B9BA3AB"/>
    <w:rsid w:val="1BC88CB0"/>
    <w:rsid w:val="1BED64A1"/>
    <w:rsid w:val="1BFFA3F2"/>
    <w:rsid w:val="1C390C4F"/>
    <w:rsid w:val="1C438F3A"/>
    <w:rsid w:val="1C6AE5D1"/>
    <w:rsid w:val="1C74C78F"/>
    <w:rsid w:val="1C94D5B9"/>
    <w:rsid w:val="1C961C79"/>
    <w:rsid w:val="1CBDCA91"/>
    <w:rsid w:val="1CC7005C"/>
    <w:rsid w:val="1CDACFD0"/>
    <w:rsid w:val="1CDC3EA3"/>
    <w:rsid w:val="1CDC67CA"/>
    <w:rsid w:val="1CDF70C0"/>
    <w:rsid w:val="1CE81361"/>
    <w:rsid w:val="1D0CF4A8"/>
    <w:rsid w:val="1D12C6D2"/>
    <w:rsid w:val="1D1373C8"/>
    <w:rsid w:val="1D2DF18C"/>
    <w:rsid w:val="1D710448"/>
    <w:rsid w:val="1D8EFA0E"/>
    <w:rsid w:val="1DB53188"/>
    <w:rsid w:val="1DE215FB"/>
    <w:rsid w:val="1DE5CDB8"/>
    <w:rsid w:val="1E1D267C"/>
    <w:rsid w:val="1E1D9F42"/>
    <w:rsid w:val="1E218238"/>
    <w:rsid w:val="1E33F072"/>
    <w:rsid w:val="1E3BAFA0"/>
    <w:rsid w:val="1E417413"/>
    <w:rsid w:val="1E60060B"/>
    <w:rsid w:val="1E7AE038"/>
    <w:rsid w:val="1E88B365"/>
    <w:rsid w:val="1E8E8888"/>
    <w:rsid w:val="1E9FF0F3"/>
    <w:rsid w:val="1EAD0D8F"/>
    <w:rsid w:val="1EAEC766"/>
    <w:rsid w:val="1EDCE3FC"/>
    <w:rsid w:val="1EF911C8"/>
    <w:rsid w:val="1F0E3E28"/>
    <w:rsid w:val="1F1EE0E0"/>
    <w:rsid w:val="1F423FE4"/>
    <w:rsid w:val="1F46099A"/>
    <w:rsid w:val="1F5A99FC"/>
    <w:rsid w:val="1F670EB2"/>
    <w:rsid w:val="1FA64A1A"/>
    <w:rsid w:val="1FA89328"/>
    <w:rsid w:val="1FA8A2A2"/>
    <w:rsid w:val="1FAD3B1D"/>
    <w:rsid w:val="1FB3C2F5"/>
    <w:rsid w:val="1FB930BD"/>
    <w:rsid w:val="1FBDF5B5"/>
    <w:rsid w:val="1FCE1BEC"/>
    <w:rsid w:val="1FD7900E"/>
    <w:rsid w:val="1FFB8CA7"/>
    <w:rsid w:val="200D1523"/>
    <w:rsid w:val="200D9A92"/>
    <w:rsid w:val="202B2EA1"/>
    <w:rsid w:val="20334F5A"/>
    <w:rsid w:val="203AF6FD"/>
    <w:rsid w:val="20526059"/>
    <w:rsid w:val="20692F1A"/>
    <w:rsid w:val="207841D2"/>
    <w:rsid w:val="208A59D2"/>
    <w:rsid w:val="209EEB37"/>
    <w:rsid w:val="20A46265"/>
    <w:rsid w:val="20A841FB"/>
    <w:rsid w:val="20BD1CE6"/>
    <w:rsid w:val="210083FD"/>
    <w:rsid w:val="21090918"/>
    <w:rsid w:val="211F8143"/>
    <w:rsid w:val="2139A22E"/>
    <w:rsid w:val="213C701E"/>
    <w:rsid w:val="2156EAA5"/>
    <w:rsid w:val="215A11EF"/>
    <w:rsid w:val="2175BEF5"/>
    <w:rsid w:val="217C4FA7"/>
    <w:rsid w:val="217E41C7"/>
    <w:rsid w:val="2180998E"/>
    <w:rsid w:val="218443F1"/>
    <w:rsid w:val="21A1F5E9"/>
    <w:rsid w:val="21AC476A"/>
    <w:rsid w:val="21E6EEF3"/>
    <w:rsid w:val="21EE353D"/>
    <w:rsid w:val="2216DD0B"/>
    <w:rsid w:val="225A9D42"/>
    <w:rsid w:val="22891DBF"/>
    <w:rsid w:val="22AC444F"/>
    <w:rsid w:val="22D030EA"/>
    <w:rsid w:val="2306481D"/>
    <w:rsid w:val="233FF6D3"/>
    <w:rsid w:val="2341597E"/>
    <w:rsid w:val="2350F552"/>
    <w:rsid w:val="23780116"/>
    <w:rsid w:val="237EFE46"/>
    <w:rsid w:val="237F40D9"/>
    <w:rsid w:val="23AB4939"/>
    <w:rsid w:val="23C25D9A"/>
    <w:rsid w:val="23DB6BF4"/>
    <w:rsid w:val="2404BD08"/>
    <w:rsid w:val="241D94CA"/>
    <w:rsid w:val="24636AF0"/>
    <w:rsid w:val="246585F7"/>
    <w:rsid w:val="248C4A50"/>
    <w:rsid w:val="248E8A7B"/>
    <w:rsid w:val="248FD8A1"/>
    <w:rsid w:val="24A550EE"/>
    <w:rsid w:val="24BED482"/>
    <w:rsid w:val="24DA80A1"/>
    <w:rsid w:val="24EA54E2"/>
    <w:rsid w:val="24EE8CDA"/>
    <w:rsid w:val="250549FE"/>
    <w:rsid w:val="25092951"/>
    <w:rsid w:val="252E2B3B"/>
    <w:rsid w:val="2535D414"/>
    <w:rsid w:val="253E293B"/>
    <w:rsid w:val="254416AC"/>
    <w:rsid w:val="2549A080"/>
    <w:rsid w:val="25568E2C"/>
    <w:rsid w:val="2566887C"/>
    <w:rsid w:val="2584E5C2"/>
    <w:rsid w:val="25A1CBE1"/>
    <w:rsid w:val="25BB0F9A"/>
    <w:rsid w:val="25DA5CFF"/>
    <w:rsid w:val="25E2A18D"/>
    <w:rsid w:val="25E6DAF7"/>
    <w:rsid w:val="25FC4E2D"/>
    <w:rsid w:val="26213ED4"/>
    <w:rsid w:val="2637E5DA"/>
    <w:rsid w:val="263E1C6F"/>
    <w:rsid w:val="2650E443"/>
    <w:rsid w:val="265ED49E"/>
    <w:rsid w:val="266695D9"/>
    <w:rsid w:val="26850D37"/>
    <w:rsid w:val="268AA933"/>
    <w:rsid w:val="2694B01E"/>
    <w:rsid w:val="269D1B15"/>
    <w:rsid w:val="26D19C17"/>
    <w:rsid w:val="26EF5CB7"/>
    <w:rsid w:val="27071911"/>
    <w:rsid w:val="27139152"/>
    <w:rsid w:val="2748C057"/>
    <w:rsid w:val="27649DA3"/>
    <w:rsid w:val="279EF00A"/>
    <w:rsid w:val="27AD34F9"/>
    <w:rsid w:val="27B4F598"/>
    <w:rsid w:val="27C52100"/>
    <w:rsid w:val="27E41A2A"/>
    <w:rsid w:val="27F850F3"/>
    <w:rsid w:val="280B2AB8"/>
    <w:rsid w:val="2829533D"/>
    <w:rsid w:val="283EF86E"/>
    <w:rsid w:val="285042C0"/>
    <w:rsid w:val="285E25F9"/>
    <w:rsid w:val="2862AFDA"/>
    <w:rsid w:val="28677EEC"/>
    <w:rsid w:val="289A0E8D"/>
    <w:rsid w:val="28D1D69B"/>
    <w:rsid w:val="28DB5DFB"/>
    <w:rsid w:val="28FD16CC"/>
    <w:rsid w:val="29002A46"/>
    <w:rsid w:val="29048417"/>
    <w:rsid w:val="29115454"/>
    <w:rsid w:val="29198A2E"/>
    <w:rsid w:val="291DB4BC"/>
    <w:rsid w:val="293B78F2"/>
    <w:rsid w:val="294EC07D"/>
    <w:rsid w:val="2951F883"/>
    <w:rsid w:val="2964D0DC"/>
    <w:rsid w:val="2967E5CE"/>
    <w:rsid w:val="29780A6A"/>
    <w:rsid w:val="2984813E"/>
    <w:rsid w:val="29946130"/>
    <w:rsid w:val="299ABE1F"/>
    <w:rsid w:val="29B588DE"/>
    <w:rsid w:val="29B8FF09"/>
    <w:rsid w:val="29BE5B2B"/>
    <w:rsid w:val="29C820B6"/>
    <w:rsid w:val="29E53C78"/>
    <w:rsid w:val="29F06A32"/>
    <w:rsid w:val="29F1BF3B"/>
    <w:rsid w:val="2A11C048"/>
    <w:rsid w:val="2A19DF45"/>
    <w:rsid w:val="2A1E8CF2"/>
    <w:rsid w:val="2A220F78"/>
    <w:rsid w:val="2A36524B"/>
    <w:rsid w:val="2A3BD6A2"/>
    <w:rsid w:val="2A41549E"/>
    <w:rsid w:val="2A5E5721"/>
    <w:rsid w:val="2A78463D"/>
    <w:rsid w:val="2A79776A"/>
    <w:rsid w:val="2A7B4852"/>
    <w:rsid w:val="2A87FE9F"/>
    <w:rsid w:val="2A8A8B45"/>
    <w:rsid w:val="2AA2178B"/>
    <w:rsid w:val="2AAD3720"/>
    <w:rsid w:val="2ABE2DA4"/>
    <w:rsid w:val="2AD0BEA6"/>
    <w:rsid w:val="2ADD8749"/>
    <w:rsid w:val="2AF0F161"/>
    <w:rsid w:val="2AF2A656"/>
    <w:rsid w:val="2B1F6F8E"/>
    <w:rsid w:val="2B40D25D"/>
    <w:rsid w:val="2B40D770"/>
    <w:rsid w:val="2B41ECB2"/>
    <w:rsid w:val="2B4D55AD"/>
    <w:rsid w:val="2B77738C"/>
    <w:rsid w:val="2B798B17"/>
    <w:rsid w:val="2B7D287D"/>
    <w:rsid w:val="2B82E203"/>
    <w:rsid w:val="2B90E26A"/>
    <w:rsid w:val="2B99A570"/>
    <w:rsid w:val="2B9C872D"/>
    <w:rsid w:val="2BB6EB3A"/>
    <w:rsid w:val="2BE58A06"/>
    <w:rsid w:val="2C0456BB"/>
    <w:rsid w:val="2C179444"/>
    <w:rsid w:val="2C272AFC"/>
    <w:rsid w:val="2C28B703"/>
    <w:rsid w:val="2C2EA55E"/>
    <w:rsid w:val="2C522058"/>
    <w:rsid w:val="2C627775"/>
    <w:rsid w:val="2C6DA2A6"/>
    <w:rsid w:val="2C736BE4"/>
    <w:rsid w:val="2C881D5C"/>
    <w:rsid w:val="2C8C20E0"/>
    <w:rsid w:val="2C9499E9"/>
    <w:rsid w:val="2CA48D05"/>
    <w:rsid w:val="2CAC5898"/>
    <w:rsid w:val="2CAED1B7"/>
    <w:rsid w:val="2CBA9E5E"/>
    <w:rsid w:val="2CC07601"/>
    <w:rsid w:val="2CE559BB"/>
    <w:rsid w:val="2CF31DBD"/>
    <w:rsid w:val="2D01B9F7"/>
    <w:rsid w:val="2D16AAA3"/>
    <w:rsid w:val="2D1962AD"/>
    <w:rsid w:val="2D2AD9BA"/>
    <w:rsid w:val="2D3BCF55"/>
    <w:rsid w:val="2D3DDF0E"/>
    <w:rsid w:val="2D3E7A13"/>
    <w:rsid w:val="2D68C118"/>
    <w:rsid w:val="2D6DCA15"/>
    <w:rsid w:val="2D888800"/>
    <w:rsid w:val="2DFF2AB7"/>
    <w:rsid w:val="2E094E49"/>
    <w:rsid w:val="2E27A369"/>
    <w:rsid w:val="2E2E6E27"/>
    <w:rsid w:val="2E367FAF"/>
    <w:rsid w:val="2E470C8E"/>
    <w:rsid w:val="2E56EA0C"/>
    <w:rsid w:val="2E62DE8B"/>
    <w:rsid w:val="2E6A36BF"/>
    <w:rsid w:val="2E714D84"/>
    <w:rsid w:val="2E75CD10"/>
    <w:rsid w:val="2E8F3D14"/>
    <w:rsid w:val="2E9D68FF"/>
    <w:rsid w:val="2EA54891"/>
    <w:rsid w:val="2F0E9561"/>
    <w:rsid w:val="2F1850F3"/>
    <w:rsid w:val="2F2E6985"/>
    <w:rsid w:val="2F4ED999"/>
    <w:rsid w:val="2FA063B3"/>
    <w:rsid w:val="2FA7C0DC"/>
    <w:rsid w:val="2FC6D877"/>
    <w:rsid w:val="2FCD06B8"/>
    <w:rsid w:val="2FE33FE7"/>
    <w:rsid w:val="2FF72CC4"/>
    <w:rsid w:val="2FF85905"/>
    <w:rsid w:val="301E0D66"/>
    <w:rsid w:val="302DF23F"/>
    <w:rsid w:val="305A8C5A"/>
    <w:rsid w:val="30668CA8"/>
    <w:rsid w:val="308773F8"/>
    <w:rsid w:val="308EC6C6"/>
    <w:rsid w:val="30A32C94"/>
    <w:rsid w:val="30A5968D"/>
    <w:rsid w:val="30C3ABBF"/>
    <w:rsid w:val="30C4AB4A"/>
    <w:rsid w:val="30D19E74"/>
    <w:rsid w:val="30E129FB"/>
    <w:rsid w:val="30E57CA5"/>
    <w:rsid w:val="30F412B2"/>
    <w:rsid w:val="30F4245C"/>
    <w:rsid w:val="3105D196"/>
    <w:rsid w:val="3125D03A"/>
    <w:rsid w:val="31276088"/>
    <w:rsid w:val="3130FAD6"/>
    <w:rsid w:val="3134706E"/>
    <w:rsid w:val="3144E1DF"/>
    <w:rsid w:val="31509A88"/>
    <w:rsid w:val="3158ACB2"/>
    <w:rsid w:val="31746030"/>
    <w:rsid w:val="3175DAA0"/>
    <w:rsid w:val="3196E45D"/>
    <w:rsid w:val="319DBAF9"/>
    <w:rsid w:val="31ADA9EE"/>
    <w:rsid w:val="31CC6113"/>
    <w:rsid w:val="31D94764"/>
    <w:rsid w:val="31E8B59F"/>
    <w:rsid w:val="3205D851"/>
    <w:rsid w:val="320968D6"/>
    <w:rsid w:val="323C48A2"/>
    <w:rsid w:val="32442647"/>
    <w:rsid w:val="324D4D71"/>
    <w:rsid w:val="32594EF0"/>
    <w:rsid w:val="326EEF6C"/>
    <w:rsid w:val="32866C60"/>
    <w:rsid w:val="328674AB"/>
    <w:rsid w:val="3294D1E1"/>
    <w:rsid w:val="32A6549F"/>
    <w:rsid w:val="32A69E33"/>
    <w:rsid w:val="32C8E5E5"/>
    <w:rsid w:val="32E2B0CE"/>
    <w:rsid w:val="32E7B7F5"/>
    <w:rsid w:val="331CD552"/>
    <w:rsid w:val="333E803B"/>
    <w:rsid w:val="334B0A42"/>
    <w:rsid w:val="3354E1E4"/>
    <w:rsid w:val="335AF27A"/>
    <w:rsid w:val="336F6E84"/>
    <w:rsid w:val="3378D8F3"/>
    <w:rsid w:val="337CB3A7"/>
    <w:rsid w:val="338FC04C"/>
    <w:rsid w:val="33AD5D40"/>
    <w:rsid w:val="33C74AD6"/>
    <w:rsid w:val="33D3176F"/>
    <w:rsid w:val="33E52AF6"/>
    <w:rsid w:val="33F4506B"/>
    <w:rsid w:val="33FE7443"/>
    <w:rsid w:val="3402E7EF"/>
    <w:rsid w:val="340A9323"/>
    <w:rsid w:val="34541A3B"/>
    <w:rsid w:val="3457A3AC"/>
    <w:rsid w:val="34711532"/>
    <w:rsid w:val="3482A6A5"/>
    <w:rsid w:val="34853F80"/>
    <w:rsid w:val="349A0BAC"/>
    <w:rsid w:val="34A65550"/>
    <w:rsid w:val="34ADBDF9"/>
    <w:rsid w:val="34B2E136"/>
    <w:rsid w:val="34CAF080"/>
    <w:rsid w:val="34EED88B"/>
    <w:rsid w:val="34FE0430"/>
    <w:rsid w:val="350C249E"/>
    <w:rsid w:val="3526F6EB"/>
    <w:rsid w:val="35315ECF"/>
    <w:rsid w:val="3536BDCA"/>
    <w:rsid w:val="35444664"/>
    <w:rsid w:val="354459F1"/>
    <w:rsid w:val="3555F30E"/>
    <w:rsid w:val="3562A6B9"/>
    <w:rsid w:val="35722E82"/>
    <w:rsid w:val="357766D2"/>
    <w:rsid w:val="357F715D"/>
    <w:rsid w:val="35889F0C"/>
    <w:rsid w:val="358AE8B1"/>
    <w:rsid w:val="3597DEA2"/>
    <w:rsid w:val="35A06BF7"/>
    <w:rsid w:val="35CA56B6"/>
    <w:rsid w:val="35DB4C2F"/>
    <w:rsid w:val="35DFE920"/>
    <w:rsid w:val="36040EA7"/>
    <w:rsid w:val="360DD0B2"/>
    <w:rsid w:val="3616DA93"/>
    <w:rsid w:val="3624C5D0"/>
    <w:rsid w:val="365244B9"/>
    <w:rsid w:val="3658E148"/>
    <w:rsid w:val="366B92D1"/>
    <w:rsid w:val="367ABDE4"/>
    <w:rsid w:val="367B21B9"/>
    <w:rsid w:val="367FFCBB"/>
    <w:rsid w:val="36877648"/>
    <w:rsid w:val="36928095"/>
    <w:rsid w:val="36B70794"/>
    <w:rsid w:val="36BEFF1E"/>
    <w:rsid w:val="36D05B85"/>
    <w:rsid w:val="36FD8FB1"/>
    <w:rsid w:val="3707D93C"/>
    <w:rsid w:val="3720932F"/>
    <w:rsid w:val="372B09BA"/>
    <w:rsid w:val="372B10B2"/>
    <w:rsid w:val="372E2B1C"/>
    <w:rsid w:val="373BA0A3"/>
    <w:rsid w:val="373FFF9B"/>
    <w:rsid w:val="3745D8E7"/>
    <w:rsid w:val="3771B3BE"/>
    <w:rsid w:val="37898BAE"/>
    <w:rsid w:val="37C1A964"/>
    <w:rsid w:val="37D6358E"/>
    <w:rsid w:val="37E81C5C"/>
    <w:rsid w:val="380AF596"/>
    <w:rsid w:val="381BB442"/>
    <w:rsid w:val="38222817"/>
    <w:rsid w:val="3846DDE4"/>
    <w:rsid w:val="384B9B63"/>
    <w:rsid w:val="38806639"/>
    <w:rsid w:val="388B5CDE"/>
    <w:rsid w:val="389DD1CD"/>
    <w:rsid w:val="38ACA59D"/>
    <w:rsid w:val="38C58933"/>
    <w:rsid w:val="38CE5C00"/>
    <w:rsid w:val="38D7A242"/>
    <w:rsid w:val="38D9CA48"/>
    <w:rsid w:val="38DF332E"/>
    <w:rsid w:val="38E0A677"/>
    <w:rsid w:val="38ECDFB0"/>
    <w:rsid w:val="38F481D6"/>
    <w:rsid w:val="394B3F33"/>
    <w:rsid w:val="397DCB42"/>
    <w:rsid w:val="39B1040B"/>
    <w:rsid w:val="39B639DD"/>
    <w:rsid w:val="39DE3DED"/>
    <w:rsid w:val="39E1DD29"/>
    <w:rsid w:val="39F9C619"/>
    <w:rsid w:val="3A06713E"/>
    <w:rsid w:val="3A06F8D2"/>
    <w:rsid w:val="3A2F10B2"/>
    <w:rsid w:val="3A310534"/>
    <w:rsid w:val="3A6791B8"/>
    <w:rsid w:val="3A7FBA90"/>
    <w:rsid w:val="3A8D0B96"/>
    <w:rsid w:val="3AC647FA"/>
    <w:rsid w:val="3AD0D39B"/>
    <w:rsid w:val="3AD4F75C"/>
    <w:rsid w:val="3AEAE5FC"/>
    <w:rsid w:val="3B14DFCF"/>
    <w:rsid w:val="3B1E4926"/>
    <w:rsid w:val="3B1FDD0E"/>
    <w:rsid w:val="3B2CC139"/>
    <w:rsid w:val="3B32F15B"/>
    <w:rsid w:val="3B43720C"/>
    <w:rsid w:val="3B587A44"/>
    <w:rsid w:val="3B5F29FF"/>
    <w:rsid w:val="3B61D554"/>
    <w:rsid w:val="3B7E4836"/>
    <w:rsid w:val="3B8FA648"/>
    <w:rsid w:val="3B9D8B4C"/>
    <w:rsid w:val="3BA72C8D"/>
    <w:rsid w:val="3BAE15B8"/>
    <w:rsid w:val="3BB36274"/>
    <w:rsid w:val="3BBC7241"/>
    <w:rsid w:val="3BDF1705"/>
    <w:rsid w:val="3BE3919D"/>
    <w:rsid w:val="3BE848CF"/>
    <w:rsid w:val="3BED2CF3"/>
    <w:rsid w:val="3C2F4D2B"/>
    <w:rsid w:val="3C314ACE"/>
    <w:rsid w:val="3C62E6D4"/>
    <w:rsid w:val="3C6BDD34"/>
    <w:rsid w:val="3CABC7C6"/>
    <w:rsid w:val="3CB09AA4"/>
    <w:rsid w:val="3CCCBE9B"/>
    <w:rsid w:val="3CD654C8"/>
    <w:rsid w:val="3CEC309E"/>
    <w:rsid w:val="3CF391A1"/>
    <w:rsid w:val="3D04128E"/>
    <w:rsid w:val="3D189CAD"/>
    <w:rsid w:val="3D20D673"/>
    <w:rsid w:val="3D29AB22"/>
    <w:rsid w:val="3D35F5C5"/>
    <w:rsid w:val="3D3C26B4"/>
    <w:rsid w:val="3D4789FB"/>
    <w:rsid w:val="3D56B770"/>
    <w:rsid w:val="3D6447B5"/>
    <w:rsid w:val="3D6685BB"/>
    <w:rsid w:val="3D6BEEC8"/>
    <w:rsid w:val="3D84E2F8"/>
    <w:rsid w:val="3D897A13"/>
    <w:rsid w:val="3D8D8711"/>
    <w:rsid w:val="3D91131B"/>
    <w:rsid w:val="3DA57511"/>
    <w:rsid w:val="3DC1E60D"/>
    <w:rsid w:val="3DCF9527"/>
    <w:rsid w:val="3DD1408D"/>
    <w:rsid w:val="3E1CEE3F"/>
    <w:rsid w:val="3E52C5CB"/>
    <w:rsid w:val="3E71665D"/>
    <w:rsid w:val="3E7AD560"/>
    <w:rsid w:val="3E8812BC"/>
    <w:rsid w:val="3EA09CB3"/>
    <w:rsid w:val="3ED77BDF"/>
    <w:rsid w:val="3ED95187"/>
    <w:rsid w:val="3EE8FE25"/>
    <w:rsid w:val="3F073DCC"/>
    <w:rsid w:val="3F07B269"/>
    <w:rsid w:val="3F11128F"/>
    <w:rsid w:val="3F31028A"/>
    <w:rsid w:val="3F43CC2A"/>
    <w:rsid w:val="3F6BEE89"/>
    <w:rsid w:val="3F889459"/>
    <w:rsid w:val="3F8A9BE2"/>
    <w:rsid w:val="3F9C43B7"/>
    <w:rsid w:val="3FA878E4"/>
    <w:rsid w:val="3FD5F20A"/>
    <w:rsid w:val="3FF235B1"/>
    <w:rsid w:val="3FF8E8B9"/>
    <w:rsid w:val="402B76B0"/>
    <w:rsid w:val="402C25EF"/>
    <w:rsid w:val="4031BCD9"/>
    <w:rsid w:val="40383CAA"/>
    <w:rsid w:val="4040230B"/>
    <w:rsid w:val="4055ACB1"/>
    <w:rsid w:val="406C37B2"/>
    <w:rsid w:val="40724DD2"/>
    <w:rsid w:val="408CC6AD"/>
    <w:rsid w:val="40B9A3FE"/>
    <w:rsid w:val="40C65B68"/>
    <w:rsid w:val="40F51E8F"/>
    <w:rsid w:val="40F54AEA"/>
    <w:rsid w:val="40F9B125"/>
    <w:rsid w:val="41096294"/>
    <w:rsid w:val="41133D64"/>
    <w:rsid w:val="411A80B6"/>
    <w:rsid w:val="412D5E21"/>
    <w:rsid w:val="4140A7EC"/>
    <w:rsid w:val="41452057"/>
    <w:rsid w:val="41526D5B"/>
    <w:rsid w:val="4160DAC5"/>
    <w:rsid w:val="418AE22A"/>
    <w:rsid w:val="418FED4A"/>
    <w:rsid w:val="419011DB"/>
    <w:rsid w:val="41939600"/>
    <w:rsid w:val="41982C10"/>
    <w:rsid w:val="41A6384D"/>
    <w:rsid w:val="41B0E401"/>
    <w:rsid w:val="41B254FA"/>
    <w:rsid w:val="41CBAE89"/>
    <w:rsid w:val="41E49AE2"/>
    <w:rsid w:val="41F77467"/>
    <w:rsid w:val="4225EC66"/>
    <w:rsid w:val="422AD5D6"/>
    <w:rsid w:val="422B1B40"/>
    <w:rsid w:val="4239E750"/>
    <w:rsid w:val="423C1855"/>
    <w:rsid w:val="423C437B"/>
    <w:rsid w:val="424BC56B"/>
    <w:rsid w:val="4261DAB2"/>
    <w:rsid w:val="426BAE29"/>
    <w:rsid w:val="427E28F4"/>
    <w:rsid w:val="428A8EBA"/>
    <w:rsid w:val="428D7E4B"/>
    <w:rsid w:val="42E98AAC"/>
    <w:rsid w:val="42FF1CFA"/>
    <w:rsid w:val="4315F39C"/>
    <w:rsid w:val="43573BFB"/>
    <w:rsid w:val="4360505B"/>
    <w:rsid w:val="4367C68A"/>
    <w:rsid w:val="4374A56C"/>
    <w:rsid w:val="43784B1A"/>
    <w:rsid w:val="437F7613"/>
    <w:rsid w:val="43804E36"/>
    <w:rsid w:val="4386CF46"/>
    <w:rsid w:val="438BA71A"/>
    <w:rsid w:val="439325ED"/>
    <w:rsid w:val="43A2569E"/>
    <w:rsid w:val="43C24744"/>
    <w:rsid w:val="43CBB5F2"/>
    <w:rsid w:val="44054576"/>
    <w:rsid w:val="440C683E"/>
    <w:rsid w:val="442DA3CB"/>
    <w:rsid w:val="4457B08B"/>
    <w:rsid w:val="449B81B7"/>
    <w:rsid w:val="44A2588A"/>
    <w:rsid w:val="44C3EF30"/>
    <w:rsid w:val="44DB9013"/>
    <w:rsid w:val="44E184D5"/>
    <w:rsid w:val="44E61A69"/>
    <w:rsid w:val="44F30229"/>
    <w:rsid w:val="44F61D07"/>
    <w:rsid w:val="44F81465"/>
    <w:rsid w:val="450DCDE2"/>
    <w:rsid w:val="4513769E"/>
    <w:rsid w:val="45219B07"/>
    <w:rsid w:val="456C3779"/>
    <w:rsid w:val="456EE242"/>
    <w:rsid w:val="4584D393"/>
    <w:rsid w:val="460DB45D"/>
    <w:rsid w:val="4643112C"/>
    <w:rsid w:val="464ABB60"/>
    <w:rsid w:val="468A96DA"/>
    <w:rsid w:val="46A793C4"/>
    <w:rsid w:val="46B29CC3"/>
    <w:rsid w:val="46BDF5FD"/>
    <w:rsid w:val="46C08473"/>
    <w:rsid w:val="46DC4894"/>
    <w:rsid w:val="46DF087A"/>
    <w:rsid w:val="46FCA446"/>
    <w:rsid w:val="4704E0B5"/>
    <w:rsid w:val="47125A68"/>
    <w:rsid w:val="471FCA69"/>
    <w:rsid w:val="4729E05D"/>
    <w:rsid w:val="473368E6"/>
    <w:rsid w:val="4765C3FC"/>
    <w:rsid w:val="47669AA0"/>
    <w:rsid w:val="4791F97B"/>
    <w:rsid w:val="479400B6"/>
    <w:rsid w:val="47965BDC"/>
    <w:rsid w:val="47AD6188"/>
    <w:rsid w:val="47ADE5FD"/>
    <w:rsid w:val="47B2CF20"/>
    <w:rsid w:val="47B71B7F"/>
    <w:rsid w:val="47C46C4D"/>
    <w:rsid w:val="47F3138E"/>
    <w:rsid w:val="482BE663"/>
    <w:rsid w:val="485E307F"/>
    <w:rsid w:val="487411CB"/>
    <w:rsid w:val="4879FA3C"/>
    <w:rsid w:val="4892DC26"/>
    <w:rsid w:val="48C312B8"/>
    <w:rsid w:val="48E03A81"/>
    <w:rsid w:val="4907D323"/>
    <w:rsid w:val="491BEAB3"/>
    <w:rsid w:val="49462636"/>
    <w:rsid w:val="49822902"/>
    <w:rsid w:val="498A9086"/>
    <w:rsid w:val="49C2E416"/>
    <w:rsid w:val="49E3AF9C"/>
    <w:rsid w:val="49EBBDD0"/>
    <w:rsid w:val="49F4A162"/>
    <w:rsid w:val="4A1FAB99"/>
    <w:rsid w:val="4A30F932"/>
    <w:rsid w:val="4A3919F4"/>
    <w:rsid w:val="4A3B8838"/>
    <w:rsid w:val="4A42A7D6"/>
    <w:rsid w:val="4A5F53CB"/>
    <w:rsid w:val="4A66376F"/>
    <w:rsid w:val="4A67E6E8"/>
    <w:rsid w:val="4A75858D"/>
    <w:rsid w:val="4A773D54"/>
    <w:rsid w:val="4A85371A"/>
    <w:rsid w:val="4A8AC5C8"/>
    <w:rsid w:val="4A93D040"/>
    <w:rsid w:val="4A95B764"/>
    <w:rsid w:val="4AA3004C"/>
    <w:rsid w:val="4ABA2D2B"/>
    <w:rsid w:val="4AC9DE35"/>
    <w:rsid w:val="4AEAC12C"/>
    <w:rsid w:val="4AF9CA5E"/>
    <w:rsid w:val="4AFFFA89"/>
    <w:rsid w:val="4B03E960"/>
    <w:rsid w:val="4B127058"/>
    <w:rsid w:val="4B783A3B"/>
    <w:rsid w:val="4B958D24"/>
    <w:rsid w:val="4B9972CF"/>
    <w:rsid w:val="4BA58F68"/>
    <w:rsid w:val="4BC116CA"/>
    <w:rsid w:val="4BCC929B"/>
    <w:rsid w:val="4BD51255"/>
    <w:rsid w:val="4BEB4169"/>
    <w:rsid w:val="4C38D835"/>
    <w:rsid w:val="4C4965FD"/>
    <w:rsid w:val="4C8D4D7B"/>
    <w:rsid w:val="4C92FD5C"/>
    <w:rsid w:val="4CAF3C05"/>
    <w:rsid w:val="4CB15E82"/>
    <w:rsid w:val="4CBACABC"/>
    <w:rsid w:val="4CBB291F"/>
    <w:rsid w:val="4CD009CF"/>
    <w:rsid w:val="4CD4AC81"/>
    <w:rsid w:val="4D180EF2"/>
    <w:rsid w:val="4D22874D"/>
    <w:rsid w:val="4D2350B4"/>
    <w:rsid w:val="4D348988"/>
    <w:rsid w:val="4D353343"/>
    <w:rsid w:val="4D3E57FB"/>
    <w:rsid w:val="4D3E793C"/>
    <w:rsid w:val="4D40552F"/>
    <w:rsid w:val="4D4493A8"/>
    <w:rsid w:val="4D5F714A"/>
    <w:rsid w:val="4D608BCC"/>
    <w:rsid w:val="4D75F534"/>
    <w:rsid w:val="4D7898E1"/>
    <w:rsid w:val="4D81E3A9"/>
    <w:rsid w:val="4D989930"/>
    <w:rsid w:val="4DA6B890"/>
    <w:rsid w:val="4DE1AD1B"/>
    <w:rsid w:val="4E04BBD8"/>
    <w:rsid w:val="4E071795"/>
    <w:rsid w:val="4E132D23"/>
    <w:rsid w:val="4E2DCA37"/>
    <w:rsid w:val="4E32166C"/>
    <w:rsid w:val="4E4204CA"/>
    <w:rsid w:val="4E464E4E"/>
    <w:rsid w:val="4E53AC1B"/>
    <w:rsid w:val="4E5B70E0"/>
    <w:rsid w:val="4E6810A2"/>
    <w:rsid w:val="4E89052F"/>
    <w:rsid w:val="4EB92764"/>
    <w:rsid w:val="4EBF087E"/>
    <w:rsid w:val="4ED9E21C"/>
    <w:rsid w:val="4EFF7DA9"/>
    <w:rsid w:val="4F01BE54"/>
    <w:rsid w:val="4F0AAC9D"/>
    <w:rsid w:val="4F222A2E"/>
    <w:rsid w:val="4F2EDE85"/>
    <w:rsid w:val="4F4655F3"/>
    <w:rsid w:val="4F4BC543"/>
    <w:rsid w:val="4F4CEF23"/>
    <w:rsid w:val="4F4E9E61"/>
    <w:rsid w:val="4F5AA788"/>
    <w:rsid w:val="4F66DBD4"/>
    <w:rsid w:val="4F79A4FA"/>
    <w:rsid w:val="4FA13211"/>
    <w:rsid w:val="4FB6D19F"/>
    <w:rsid w:val="4FBF3F8A"/>
    <w:rsid w:val="4FC15355"/>
    <w:rsid w:val="4FCE1E3C"/>
    <w:rsid w:val="4FD4B53F"/>
    <w:rsid w:val="50185AAE"/>
    <w:rsid w:val="504668DA"/>
    <w:rsid w:val="504D7E30"/>
    <w:rsid w:val="504F10FA"/>
    <w:rsid w:val="50586EDA"/>
    <w:rsid w:val="507246D4"/>
    <w:rsid w:val="509E13D0"/>
    <w:rsid w:val="50CE777D"/>
    <w:rsid w:val="50FDA7BD"/>
    <w:rsid w:val="51199C16"/>
    <w:rsid w:val="513337EA"/>
    <w:rsid w:val="5138B140"/>
    <w:rsid w:val="51CDE238"/>
    <w:rsid w:val="51D45AA5"/>
    <w:rsid w:val="51D78C88"/>
    <w:rsid w:val="51FA2555"/>
    <w:rsid w:val="52417804"/>
    <w:rsid w:val="52518D85"/>
    <w:rsid w:val="52544679"/>
    <w:rsid w:val="525A59BB"/>
    <w:rsid w:val="525C5C09"/>
    <w:rsid w:val="52992A40"/>
    <w:rsid w:val="52A4D62A"/>
    <w:rsid w:val="52AA17A7"/>
    <w:rsid w:val="52DCEF45"/>
    <w:rsid w:val="52E452C8"/>
    <w:rsid w:val="52E75288"/>
    <w:rsid w:val="531CD852"/>
    <w:rsid w:val="532D6126"/>
    <w:rsid w:val="537D8E14"/>
    <w:rsid w:val="5388031A"/>
    <w:rsid w:val="53976176"/>
    <w:rsid w:val="539C6744"/>
    <w:rsid w:val="53A6BEA0"/>
    <w:rsid w:val="53B16BA3"/>
    <w:rsid w:val="53B55B15"/>
    <w:rsid w:val="53BC3F0B"/>
    <w:rsid w:val="53BD6F16"/>
    <w:rsid w:val="53C3A499"/>
    <w:rsid w:val="54000CD9"/>
    <w:rsid w:val="5402F9DC"/>
    <w:rsid w:val="541C1A22"/>
    <w:rsid w:val="5421AEE2"/>
    <w:rsid w:val="5434E3E8"/>
    <w:rsid w:val="5469F488"/>
    <w:rsid w:val="547E4FC3"/>
    <w:rsid w:val="54DA8626"/>
    <w:rsid w:val="54E2C7DB"/>
    <w:rsid w:val="54EE20EF"/>
    <w:rsid w:val="550E857C"/>
    <w:rsid w:val="551D3E6A"/>
    <w:rsid w:val="551D8B43"/>
    <w:rsid w:val="55264B52"/>
    <w:rsid w:val="553E5D89"/>
    <w:rsid w:val="55443690"/>
    <w:rsid w:val="55700DE2"/>
    <w:rsid w:val="55780E36"/>
    <w:rsid w:val="55842E29"/>
    <w:rsid w:val="55AAC06E"/>
    <w:rsid w:val="55B98DBA"/>
    <w:rsid w:val="55C42710"/>
    <w:rsid w:val="55C74FF1"/>
    <w:rsid w:val="5637719B"/>
    <w:rsid w:val="563CC8EB"/>
    <w:rsid w:val="56414E30"/>
    <w:rsid w:val="564FFC94"/>
    <w:rsid w:val="56505D3D"/>
    <w:rsid w:val="5670A4F5"/>
    <w:rsid w:val="568871C9"/>
    <w:rsid w:val="568DE9A3"/>
    <w:rsid w:val="5690735E"/>
    <w:rsid w:val="56966394"/>
    <w:rsid w:val="569B856F"/>
    <w:rsid w:val="56B7F735"/>
    <w:rsid w:val="56C94944"/>
    <w:rsid w:val="56DB4C61"/>
    <w:rsid w:val="56E9CB77"/>
    <w:rsid w:val="56F59F57"/>
    <w:rsid w:val="5715D4BA"/>
    <w:rsid w:val="571FC6E6"/>
    <w:rsid w:val="5720066D"/>
    <w:rsid w:val="575CEF60"/>
    <w:rsid w:val="5769B20F"/>
    <w:rsid w:val="576F3E68"/>
    <w:rsid w:val="57AC34ED"/>
    <w:rsid w:val="57D6DCEB"/>
    <w:rsid w:val="57E2DEC7"/>
    <w:rsid w:val="57E8007B"/>
    <w:rsid w:val="5801DE0E"/>
    <w:rsid w:val="5806E33D"/>
    <w:rsid w:val="5814CB4F"/>
    <w:rsid w:val="582A1F54"/>
    <w:rsid w:val="58334B9F"/>
    <w:rsid w:val="58541133"/>
    <w:rsid w:val="5859C60E"/>
    <w:rsid w:val="58881365"/>
    <w:rsid w:val="58946448"/>
    <w:rsid w:val="58B60865"/>
    <w:rsid w:val="58C644F2"/>
    <w:rsid w:val="58FB64B6"/>
    <w:rsid w:val="58FEE4A8"/>
    <w:rsid w:val="59088338"/>
    <w:rsid w:val="59127FDD"/>
    <w:rsid w:val="591B1727"/>
    <w:rsid w:val="591C1851"/>
    <w:rsid w:val="591C84B9"/>
    <w:rsid w:val="59249DB6"/>
    <w:rsid w:val="593549B4"/>
    <w:rsid w:val="596B4C25"/>
    <w:rsid w:val="597310C0"/>
    <w:rsid w:val="599CD4DA"/>
    <w:rsid w:val="59A22516"/>
    <w:rsid w:val="59B7C476"/>
    <w:rsid w:val="59C2F217"/>
    <w:rsid w:val="59C64077"/>
    <w:rsid w:val="59E02A40"/>
    <w:rsid w:val="5A130CF1"/>
    <w:rsid w:val="5A1BEE15"/>
    <w:rsid w:val="5A2D57C1"/>
    <w:rsid w:val="5A45208D"/>
    <w:rsid w:val="5A56A5BB"/>
    <w:rsid w:val="5A5A1A24"/>
    <w:rsid w:val="5A679438"/>
    <w:rsid w:val="5A8D90D5"/>
    <w:rsid w:val="5A8EF874"/>
    <w:rsid w:val="5AE1967E"/>
    <w:rsid w:val="5AED9955"/>
    <w:rsid w:val="5B2FDF21"/>
    <w:rsid w:val="5B32E8C4"/>
    <w:rsid w:val="5B515867"/>
    <w:rsid w:val="5B53CE26"/>
    <w:rsid w:val="5B636543"/>
    <w:rsid w:val="5B712089"/>
    <w:rsid w:val="5B760D21"/>
    <w:rsid w:val="5B7BCCE3"/>
    <w:rsid w:val="5B7D341D"/>
    <w:rsid w:val="5B8DDE42"/>
    <w:rsid w:val="5BA25E41"/>
    <w:rsid w:val="5BC703A5"/>
    <w:rsid w:val="5BE54DDC"/>
    <w:rsid w:val="5C247FAD"/>
    <w:rsid w:val="5C2C8F8A"/>
    <w:rsid w:val="5C3EA5E8"/>
    <w:rsid w:val="5C5F35C6"/>
    <w:rsid w:val="5C8E60CF"/>
    <w:rsid w:val="5C97ACA4"/>
    <w:rsid w:val="5C988259"/>
    <w:rsid w:val="5CA0FBE4"/>
    <w:rsid w:val="5CB0E261"/>
    <w:rsid w:val="5CB44773"/>
    <w:rsid w:val="5CB6CB34"/>
    <w:rsid w:val="5CEF026E"/>
    <w:rsid w:val="5D0AF36B"/>
    <w:rsid w:val="5D1A18D7"/>
    <w:rsid w:val="5D27B7D4"/>
    <w:rsid w:val="5D47CF0D"/>
    <w:rsid w:val="5D9A5BB8"/>
    <w:rsid w:val="5DBBCB38"/>
    <w:rsid w:val="5DC6E6A2"/>
    <w:rsid w:val="5DCB8309"/>
    <w:rsid w:val="5DE0840E"/>
    <w:rsid w:val="5DE190CB"/>
    <w:rsid w:val="5DE872BC"/>
    <w:rsid w:val="5E03571C"/>
    <w:rsid w:val="5E0E2C2E"/>
    <w:rsid w:val="5E26CCBB"/>
    <w:rsid w:val="5E3B3D2E"/>
    <w:rsid w:val="5E5762F7"/>
    <w:rsid w:val="5E9C4AE0"/>
    <w:rsid w:val="5EC32407"/>
    <w:rsid w:val="5ECB70FC"/>
    <w:rsid w:val="5ECCB16F"/>
    <w:rsid w:val="5ED73C8C"/>
    <w:rsid w:val="5EE33E36"/>
    <w:rsid w:val="5F0E1576"/>
    <w:rsid w:val="5F48CEA4"/>
    <w:rsid w:val="5F5E1DD6"/>
    <w:rsid w:val="5F7B3C2A"/>
    <w:rsid w:val="5F7F5ED3"/>
    <w:rsid w:val="5F8A08F2"/>
    <w:rsid w:val="5FA159D1"/>
    <w:rsid w:val="5FC04B1A"/>
    <w:rsid w:val="5FCADB6A"/>
    <w:rsid w:val="5FD6559B"/>
    <w:rsid w:val="5FF32E8F"/>
    <w:rsid w:val="5FF76812"/>
    <w:rsid w:val="60062B45"/>
    <w:rsid w:val="6013226B"/>
    <w:rsid w:val="601C983C"/>
    <w:rsid w:val="60351D73"/>
    <w:rsid w:val="6038CB9A"/>
    <w:rsid w:val="603FB12D"/>
    <w:rsid w:val="605BAFB1"/>
    <w:rsid w:val="605EF3CE"/>
    <w:rsid w:val="6068B3B1"/>
    <w:rsid w:val="606C9E0C"/>
    <w:rsid w:val="607DE0BD"/>
    <w:rsid w:val="608B7D0A"/>
    <w:rsid w:val="608D0CD3"/>
    <w:rsid w:val="609DB477"/>
    <w:rsid w:val="60A86636"/>
    <w:rsid w:val="60B8033D"/>
    <w:rsid w:val="60BD423E"/>
    <w:rsid w:val="60EBE625"/>
    <w:rsid w:val="60F6605F"/>
    <w:rsid w:val="6103AD83"/>
    <w:rsid w:val="61115A1A"/>
    <w:rsid w:val="611BA2DA"/>
    <w:rsid w:val="612C0412"/>
    <w:rsid w:val="6135850C"/>
    <w:rsid w:val="613C620A"/>
    <w:rsid w:val="61494B1A"/>
    <w:rsid w:val="61499E18"/>
    <w:rsid w:val="616432BD"/>
    <w:rsid w:val="61861F6D"/>
    <w:rsid w:val="61B1813C"/>
    <w:rsid w:val="61B49617"/>
    <w:rsid w:val="61B5670B"/>
    <w:rsid w:val="61D0C1E2"/>
    <w:rsid w:val="61D5EDD1"/>
    <w:rsid w:val="61E1BC74"/>
    <w:rsid w:val="61F275B4"/>
    <w:rsid w:val="61F6DECE"/>
    <w:rsid w:val="61FFBEF9"/>
    <w:rsid w:val="620881F1"/>
    <w:rsid w:val="6208C269"/>
    <w:rsid w:val="620C7B1E"/>
    <w:rsid w:val="6246E6F1"/>
    <w:rsid w:val="624B5737"/>
    <w:rsid w:val="6255F748"/>
    <w:rsid w:val="6267C9A1"/>
    <w:rsid w:val="626B22A5"/>
    <w:rsid w:val="627E5434"/>
    <w:rsid w:val="6292A4E1"/>
    <w:rsid w:val="62AAAA85"/>
    <w:rsid w:val="62B246D5"/>
    <w:rsid w:val="62CE92F5"/>
    <w:rsid w:val="62CF09C8"/>
    <w:rsid w:val="62E6EE63"/>
    <w:rsid w:val="63224370"/>
    <w:rsid w:val="63358126"/>
    <w:rsid w:val="63464922"/>
    <w:rsid w:val="6386FDD8"/>
    <w:rsid w:val="63A16A8F"/>
    <w:rsid w:val="63AB7976"/>
    <w:rsid w:val="63D5B5E0"/>
    <w:rsid w:val="63D67226"/>
    <w:rsid w:val="63EF9F62"/>
    <w:rsid w:val="6420E72C"/>
    <w:rsid w:val="643F109D"/>
    <w:rsid w:val="6471F836"/>
    <w:rsid w:val="6474D72D"/>
    <w:rsid w:val="648906F7"/>
    <w:rsid w:val="64C924DD"/>
    <w:rsid w:val="64D2367B"/>
    <w:rsid w:val="64DE841F"/>
    <w:rsid w:val="64E10658"/>
    <w:rsid w:val="652738CE"/>
    <w:rsid w:val="6534316B"/>
    <w:rsid w:val="653CC071"/>
    <w:rsid w:val="65C75141"/>
    <w:rsid w:val="65D19F73"/>
    <w:rsid w:val="65E50B45"/>
    <w:rsid w:val="65F0AEB4"/>
    <w:rsid w:val="65FB5AB0"/>
    <w:rsid w:val="6621B340"/>
    <w:rsid w:val="6624707A"/>
    <w:rsid w:val="6657A7FB"/>
    <w:rsid w:val="66696CD4"/>
    <w:rsid w:val="66716AC6"/>
    <w:rsid w:val="6678D4AE"/>
    <w:rsid w:val="6688DCE4"/>
    <w:rsid w:val="6691CEA0"/>
    <w:rsid w:val="66BC6F0F"/>
    <w:rsid w:val="66C40111"/>
    <w:rsid w:val="66D902BD"/>
    <w:rsid w:val="66E2A848"/>
    <w:rsid w:val="66E56758"/>
    <w:rsid w:val="66F71140"/>
    <w:rsid w:val="671778A3"/>
    <w:rsid w:val="673AE10C"/>
    <w:rsid w:val="6749739D"/>
    <w:rsid w:val="679A6923"/>
    <w:rsid w:val="679D47FB"/>
    <w:rsid w:val="67A37EA0"/>
    <w:rsid w:val="67C5B49D"/>
    <w:rsid w:val="67F71670"/>
    <w:rsid w:val="682FB730"/>
    <w:rsid w:val="684640A5"/>
    <w:rsid w:val="685A7EEF"/>
    <w:rsid w:val="68703951"/>
    <w:rsid w:val="68C82890"/>
    <w:rsid w:val="68D48D4A"/>
    <w:rsid w:val="68E16A25"/>
    <w:rsid w:val="69088570"/>
    <w:rsid w:val="690A068E"/>
    <w:rsid w:val="69238885"/>
    <w:rsid w:val="694D8A00"/>
    <w:rsid w:val="694FDC65"/>
    <w:rsid w:val="6956DD20"/>
    <w:rsid w:val="696B6EA3"/>
    <w:rsid w:val="69790B07"/>
    <w:rsid w:val="697E301B"/>
    <w:rsid w:val="697F05C9"/>
    <w:rsid w:val="6990591A"/>
    <w:rsid w:val="6998CCEE"/>
    <w:rsid w:val="699C4716"/>
    <w:rsid w:val="699EA248"/>
    <w:rsid w:val="69A2FE60"/>
    <w:rsid w:val="69BCA10D"/>
    <w:rsid w:val="69C37CFB"/>
    <w:rsid w:val="69C64EBF"/>
    <w:rsid w:val="69E3B350"/>
    <w:rsid w:val="6A27120B"/>
    <w:rsid w:val="6A2CD314"/>
    <w:rsid w:val="6A37FFB5"/>
    <w:rsid w:val="6A3DD1CB"/>
    <w:rsid w:val="6A63DEC1"/>
    <w:rsid w:val="6A725ED0"/>
    <w:rsid w:val="6A813FD6"/>
    <w:rsid w:val="6AC8BD92"/>
    <w:rsid w:val="6AC9D073"/>
    <w:rsid w:val="6AD42ADC"/>
    <w:rsid w:val="6AE1D031"/>
    <w:rsid w:val="6AE33E0A"/>
    <w:rsid w:val="6B00048A"/>
    <w:rsid w:val="6B1CA6C4"/>
    <w:rsid w:val="6B29EA66"/>
    <w:rsid w:val="6B2CCBDB"/>
    <w:rsid w:val="6B4F7AF7"/>
    <w:rsid w:val="6B5901AE"/>
    <w:rsid w:val="6B7C0988"/>
    <w:rsid w:val="6B7D8A94"/>
    <w:rsid w:val="6B800D9B"/>
    <w:rsid w:val="6B9C34CC"/>
    <w:rsid w:val="6BA614D9"/>
    <w:rsid w:val="6BB22FC2"/>
    <w:rsid w:val="6BBE6BE8"/>
    <w:rsid w:val="6BC58F93"/>
    <w:rsid w:val="6C1F4B2F"/>
    <w:rsid w:val="6C3914C0"/>
    <w:rsid w:val="6C3BD289"/>
    <w:rsid w:val="6C42EDAE"/>
    <w:rsid w:val="6C90A84B"/>
    <w:rsid w:val="6CC3D236"/>
    <w:rsid w:val="6CD1C366"/>
    <w:rsid w:val="6CD419C1"/>
    <w:rsid w:val="6CEBFF28"/>
    <w:rsid w:val="6CEFDA5B"/>
    <w:rsid w:val="6CF82AAB"/>
    <w:rsid w:val="6D0397C6"/>
    <w:rsid w:val="6D12B181"/>
    <w:rsid w:val="6D264D1F"/>
    <w:rsid w:val="6D2FF078"/>
    <w:rsid w:val="6D44D0C9"/>
    <w:rsid w:val="6D500201"/>
    <w:rsid w:val="6D597A64"/>
    <w:rsid w:val="6D620282"/>
    <w:rsid w:val="6D68A98D"/>
    <w:rsid w:val="6D7E74CF"/>
    <w:rsid w:val="6D88F42C"/>
    <w:rsid w:val="6DA3AD46"/>
    <w:rsid w:val="6DA95B33"/>
    <w:rsid w:val="6DBA3C48"/>
    <w:rsid w:val="6DBE19FC"/>
    <w:rsid w:val="6E1302C2"/>
    <w:rsid w:val="6E39AC43"/>
    <w:rsid w:val="6E688FB4"/>
    <w:rsid w:val="6E6EEEBD"/>
    <w:rsid w:val="6E6FCF4D"/>
    <w:rsid w:val="6E768308"/>
    <w:rsid w:val="6E941E82"/>
    <w:rsid w:val="6E99A643"/>
    <w:rsid w:val="6E9D397A"/>
    <w:rsid w:val="6E9E1065"/>
    <w:rsid w:val="6EB45259"/>
    <w:rsid w:val="6EC9CD65"/>
    <w:rsid w:val="6ED54987"/>
    <w:rsid w:val="6EF1B499"/>
    <w:rsid w:val="6F16A5A6"/>
    <w:rsid w:val="6F1868BD"/>
    <w:rsid w:val="6F2CB42C"/>
    <w:rsid w:val="6F3927E2"/>
    <w:rsid w:val="6F3CB272"/>
    <w:rsid w:val="6F4679AD"/>
    <w:rsid w:val="6F4EDF92"/>
    <w:rsid w:val="6F5DB683"/>
    <w:rsid w:val="6F88856D"/>
    <w:rsid w:val="6FCB6E4F"/>
    <w:rsid w:val="6FD380E3"/>
    <w:rsid w:val="6FE28582"/>
    <w:rsid w:val="700985B1"/>
    <w:rsid w:val="701917C7"/>
    <w:rsid w:val="701CEAE2"/>
    <w:rsid w:val="70202275"/>
    <w:rsid w:val="70293B3C"/>
    <w:rsid w:val="70776C12"/>
    <w:rsid w:val="70812028"/>
    <w:rsid w:val="70951627"/>
    <w:rsid w:val="70BA8D2C"/>
    <w:rsid w:val="70C0AA28"/>
    <w:rsid w:val="70EC994A"/>
    <w:rsid w:val="70F2459A"/>
    <w:rsid w:val="71193AEB"/>
    <w:rsid w:val="7120EB2B"/>
    <w:rsid w:val="712488E1"/>
    <w:rsid w:val="7131A0B4"/>
    <w:rsid w:val="7137F832"/>
    <w:rsid w:val="713D5B5B"/>
    <w:rsid w:val="713F5FCF"/>
    <w:rsid w:val="716C43C6"/>
    <w:rsid w:val="71847861"/>
    <w:rsid w:val="71A7F5B6"/>
    <w:rsid w:val="71AD6484"/>
    <w:rsid w:val="71CBE59A"/>
    <w:rsid w:val="71D6B2C6"/>
    <w:rsid w:val="71D74957"/>
    <w:rsid w:val="71E36DC2"/>
    <w:rsid w:val="71E3D8DA"/>
    <w:rsid w:val="71FB65CD"/>
    <w:rsid w:val="71FD209C"/>
    <w:rsid w:val="7215411F"/>
    <w:rsid w:val="72204D06"/>
    <w:rsid w:val="722CD4EF"/>
    <w:rsid w:val="72386A42"/>
    <w:rsid w:val="723DD7AB"/>
    <w:rsid w:val="723EA25B"/>
    <w:rsid w:val="7262A2C3"/>
    <w:rsid w:val="72631BE9"/>
    <w:rsid w:val="726D5388"/>
    <w:rsid w:val="727306B2"/>
    <w:rsid w:val="72745C7C"/>
    <w:rsid w:val="727CF944"/>
    <w:rsid w:val="729E66A1"/>
    <w:rsid w:val="72A2285F"/>
    <w:rsid w:val="72AACEEE"/>
    <w:rsid w:val="72C1A163"/>
    <w:rsid w:val="72D91731"/>
    <w:rsid w:val="72E800B3"/>
    <w:rsid w:val="72E85865"/>
    <w:rsid w:val="72FA03F8"/>
    <w:rsid w:val="72FC1BF3"/>
    <w:rsid w:val="73282AC8"/>
    <w:rsid w:val="732B7BEB"/>
    <w:rsid w:val="732C1AE9"/>
    <w:rsid w:val="734587D8"/>
    <w:rsid w:val="7349EA28"/>
    <w:rsid w:val="736AB2F5"/>
    <w:rsid w:val="738F7C88"/>
    <w:rsid w:val="739ED4CD"/>
    <w:rsid w:val="73A31DED"/>
    <w:rsid w:val="73B656E0"/>
    <w:rsid w:val="73D32E87"/>
    <w:rsid w:val="73D44B57"/>
    <w:rsid w:val="73DB0E71"/>
    <w:rsid w:val="73DF8EC1"/>
    <w:rsid w:val="73E37B77"/>
    <w:rsid w:val="73F0A260"/>
    <w:rsid w:val="73F2D04B"/>
    <w:rsid w:val="73FF637F"/>
    <w:rsid w:val="74003713"/>
    <w:rsid w:val="7402A065"/>
    <w:rsid w:val="74032841"/>
    <w:rsid w:val="740DD28C"/>
    <w:rsid w:val="74151A4C"/>
    <w:rsid w:val="741787D4"/>
    <w:rsid w:val="7421B756"/>
    <w:rsid w:val="7431971F"/>
    <w:rsid w:val="74655DBC"/>
    <w:rsid w:val="747A71D2"/>
    <w:rsid w:val="747A8BE5"/>
    <w:rsid w:val="747E6CD2"/>
    <w:rsid w:val="748875A0"/>
    <w:rsid w:val="748A4DFC"/>
    <w:rsid w:val="7499897A"/>
    <w:rsid w:val="74BF53A2"/>
    <w:rsid w:val="74D7E092"/>
    <w:rsid w:val="74E4835A"/>
    <w:rsid w:val="74E8BDFE"/>
    <w:rsid w:val="74EC09F6"/>
    <w:rsid w:val="74EDF43B"/>
    <w:rsid w:val="74EEF644"/>
    <w:rsid w:val="74F3EBAD"/>
    <w:rsid w:val="75108809"/>
    <w:rsid w:val="753BA430"/>
    <w:rsid w:val="753F6910"/>
    <w:rsid w:val="75402D7F"/>
    <w:rsid w:val="754A9213"/>
    <w:rsid w:val="754F7AB6"/>
    <w:rsid w:val="7561C46D"/>
    <w:rsid w:val="758FC5E7"/>
    <w:rsid w:val="759EF946"/>
    <w:rsid w:val="75AC5381"/>
    <w:rsid w:val="75CEB94A"/>
    <w:rsid w:val="75D47B45"/>
    <w:rsid w:val="75F32494"/>
    <w:rsid w:val="75F3CD11"/>
    <w:rsid w:val="760894CC"/>
    <w:rsid w:val="760ABA6B"/>
    <w:rsid w:val="762EE380"/>
    <w:rsid w:val="76465807"/>
    <w:rsid w:val="764A12E8"/>
    <w:rsid w:val="765E9ED5"/>
    <w:rsid w:val="7661371D"/>
    <w:rsid w:val="767913C2"/>
    <w:rsid w:val="76AAC7AC"/>
    <w:rsid w:val="76B7A6C6"/>
    <w:rsid w:val="76C04C35"/>
    <w:rsid w:val="76CEDCA7"/>
    <w:rsid w:val="76D22496"/>
    <w:rsid w:val="76DDDC64"/>
    <w:rsid w:val="76F76C2F"/>
    <w:rsid w:val="770687C0"/>
    <w:rsid w:val="7707AAC6"/>
    <w:rsid w:val="77170451"/>
    <w:rsid w:val="771D1227"/>
    <w:rsid w:val="772809C1"/>
    <w:rsid w:val="774945C5"/>
    <w:rsid w:val="7763AA95"/>
    <w:rsid w:val="776C4BE8"/>
    <w:rsid w:val="779011EF"/>
    <w:rsid w:val="77AA9BDC"/>
    <w:rsid w:val="77B1F9F5"/>
    <w:rsid w:val="77CBFC49"/>
    <w:rsid w:val="77D9C579"/>
    <w:rsid w:val="77EABA45"/>
    <w:rsid w:val="77F0B563"/>
    <w:rsid w:val="78292484"/>
    <w:rsid w:val="782C14A9"/>
    <w:rsid w:val="784376AC"/>
    <w:rsid w:val="7851C9F0"/>
    <w:rsid w:val="789801F7"/>
    <w:rsid w:val="789B811B"/>
    <w:rsid w:val="78A058BB"/>
    <w:rsid w:val="78A20B6D"/>
    <w:rsid w:val="78DF1CBB"/>
    <w:rsid w:val="78EE0696"/>
    <w:rsid w:val="78FBF947"/>
    <w:rsid w:val="7938D116"/>
    <w:rsid w:val="7939345D"/>
    <w:rsid w:val="794570E9"/>
    <w:rsid w:val="794CE50E"/>
    <w:rsid w:val="794E25B3"/>
    <w:rsid w:val="7969A9D5"/>
    <w:rsid w:val="796B21E2"/>
    <w:rsid w:val="797D875B"/>
    <w:rsid w:val="79846280"/>
    <w:rsid w:val="798D8859"/>
    <w:rsid w:val="7990518A"/>
    <w:rsid w:val="7996AB97"/>
    <w:rsid w:val="79974143"/>
    <w:rsid w:val="79AA9C7B"/>
    <w:rsid w:val="79B4CA7B"/>
    <w:rsid w:val="79F4D5EB"/>
    <w:rsid w:val="7A08D34F"/>
    <w:rsid w:val="7A2C8A92"/>
    <w:rsid w:val="7A357261"/>
    <w:rsid w:val="7A35F162"/>
    <w:rsid w:val="7A366CBB"/>
    <w:rsid w:val="7A47C26D"/>
    <w:rsid w:val="7A54041F"/>
    <w:rsid w:val="7A6FC93F"/>
    <w:rsid w:val="7A774197"/>
    <w:rsid w:val="7A83EC8E"/>
    <w:rsid w:val="7A897F6B"/>
    <w:rsid w:val="7A8C3A0A"/>
    <w:rsid w:val="7A984772"/>
    <w:rsid w:val="7A9E2D49"/>
    <w:rsid w:val="7AB2F056"/>
    <w:rsid w:val="7AC40DC4"/>
    <w:rsid w:val="7AD4E347"/>
    <w:rsid w:val="7AE4C487"/>
    <w:rsid w:val="7B042D18"/>
    <w:rsid w:val="7B048DF9"/>
    <w:rsid w:val="7B2558CE"/>
    <w:rsid w:val="7B37C1C5"/>
    <w:rsid w:val="7B3ABDFF"/>
    <w:rsid w:val="7B4B9957"/>
    <w:rsid w:val="7B660473"/>
    <w:rsid w:val="7B66B769"/>
    <w:rsid w:val="7B77DBA9"/>
    <w:rsid w:val="7B9295EF"/>
    <w:rsid w:val="7B938C06"/>
    <w:rsid w:val="7BB6A310"/>
    <w:rsid w:val="7BD29B1D"/>
    <w:rsid w:val="7BE139A9"/>
    <w:rsid w:val="7BF4246B"/>
    <w:rsid w:val="7C10097D"/>
    <w:rsid w:val="7C1963B1"/>
    <w:rsid w:val="7C2A58BD"/>
    <w:rsid w:val="7C2E142B"/>
    <w:rsid w:val="7C32B42D"/>
    <w:rsid w:val="7C522EE7"/>
    <w:rsid w:val="7C534BB2"/>
    <w:rsid w:val="7C78755A"/>
    <w:rsid w:val="7C796162"/>
    <w:rsid w:val="7C87BEA9"/>
    <w:rsid w:val="7C9DCAEE"/>
    <w:rsid w:val="7CCFB560"/>
    <w:rsid w:val="7CD2D87F"/>
    <w:rsid w:val="7CD96B1F"/>
    <w:rsid w:val="7D384949"/>
    <w:rsid w:val="7D3D4DD2"/>
    <w:rsid w:val="7D40EBE1"/>
    <w:rsid w:val="7D64E550"/>
    <w:rsid w:val="7D8C99A7"/>
    <w:rsid w:val="7D9A56FA"/>
    <w:rsid w:val="7D9B7339"/>
    <w:rsid w:val="7DB976A5"/>
    <w:rsid w:val="7DBB6DED"/>
    <w:rsid w:val="7DBF2F34"/>
    <w:rsid w:val="7DCC7539"/>
    <w:rsid w:val="7DCDDE1B"/>
    <w:rsid w:val="7DE02330"/>
    <w:rsid w:val="7DE0270A"/>
    <w:rsid w:val="7DE50E89"/>
    <w:rsid w:val="7DE8D707"/>
    <w:rsid w:val="7DF61EBA"/>
    <w:rsid w:val="7E97D373"/>
    <w:rsid w:val="7EBCB4D6"/>
    <w:rsid w:val="7ED65A09"/>
    <w:rsid w:val="7ED94D38"/>
    <w:rsid w:val="7F14174F"/>
    <w:rsid w:val="7F1524FC"/>
    <w:rsid w:val="7F1C85D3"/>
    <w:rsid w:val="7F214AE3"/>
    <w:rsid w:val="7F3C68DD"/>
    <w:rsid w:val="7F3E66C2"/>
    <w:rsid w:val="7F4AA5B5"/>
    <w:rsid w:val="7F4F560F"/>
    <w:rsid w:val="7F5EDEB1"/>
    <w:rsid w:val="7F6DB6B3"/>
    <w:rsid w:val="7F99966B"/>
    <w:rsid w:val="7F9BB511"/>
    <w:rsid w:val="7F9E3F49"/>
    <w:rsid w:val="7FAE9198"/>
    <w:rsid w:val="7FE23D1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F7CC0"/>
  <w14:defaultImageDpi w14:val="0"/>
  <w15:docId w15:val="{D0798C03-DABB-443C-B21B-34ECF0AE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cs="Times New Roman"/>
    </w:rPr>
  </w:style>
  <w:style w:type="paragraph" w:styleId="Kop1">
    <w:name w:val="heading 1"/>
    <w:basedOn w:val="Standaard"/>
    <w:next w:val="Tekst"/>
    <w:link w:val="Kop1Char"/>
    <w:uiPriority w:val="9"/>
    <w:qFormat/>
    <w:rsid w:val="004A349F"/>
    <w:pPr>
      <w:keepNext/>
      <w:keepLines/>
      <w:numPr>
        <w:numId w:val="6"/>
      </w:numPr>
      <w:spacing w:before="240" w:after="240"/>
      <w:outlineLvl w:val="0"/>
    </w:pPr>
    <w:rPr>
      <w:rFonts w:eastAsiaTheme="majorEastAsia"/>
      <w:b/>
      <w:sz w:val="24"/>
      <w:szCs w:val="32"/>
    </w:rPr>
  </w:style>
  <w:style w:type="paragraph" w:styleId="Kop2">
    <w:name w:val="heading 2"/>
    <w:basedOn w:val="Standaard"/>
    <w:next w:val="Tekst"/>
    <w:link w:val="Kop2Char"/>
    <w:uiPriority w:val="9"/>
    <w:unhideWhenUsed/>
    <w:qFormat/>
    <w:rsid w:val="00D91028"/>
    <w:pPr>
      <w:keepNext/>
      <w:keepLines/>
      <w:numPr>
        <w:ilvl w:val="1"/>
        <w:numId w:val="6"/>
      </w:numPr>
      <w:spacing w:before="40" w:after="120"/>
      <w:outlineLvl w:val="1"/>
    </w:pPr>
    <w:rPr>
      <w:rFonts w:eastAsiaTheme="majorEastAsia"/>
      <w:b/>
      <w:sz w:val="24"/>
      <w:szCs w:val="26"/>
    </w:rPr>
  </w:style>
  <w:style w:type="paragraph" w:styleId="Kop3">
    <w:name w:val="heading 3"/>
    <w:basedOn w:val="Standaard"/>
    <w:next w:val="Tekst"/>
    <w:link w:val="Kop3Char"/>
    <w:uiPriority w:val="9"/>
    <w:unhideWhenUsed/>
    <w:qFormat/>
    <w:rsid w:val="00DA5552"/>
    <w:pPr>
      <w:keepNext/>
      <w:keepLines/>
      <w:numPr>
        <w:ilvl w:val="2"/>
        <w:numId w:val="6"/>
      </w:numPr>
      <w:spacing w:before="40" w:after="0"/>
      <w:outlineLvl w:val="2"/>
    </w:pPr>
    <w:rPr>
      <w:rFonts w:eastAsiaTheme="majorEastAsia"/>
      <w:i/>
      <w:sz w:val="24"/>
      <w:szCs w:val="24"/>
    </w:rPr>
  </w:style>
  <w:style w:type="paragraph" w:styleId="Kop4">
    <w:name w:val="heading 4"/>
    <w:basedOn w:val="Standaard"/>
    <w:next w:val="Tekst"/>
    <w:link w:val="Kop4Char"/>
    <w:uiPriority w:val="9"/>
    <w:unhideWhenUsed/>
    <w:qFormat/>
    <w:rsid w:val="00DA5552"/>
    <w:pPr>
      <w:keepNext/>
      <w:keepLines/>
      <w:numPr>
        <w:ilvl w:val="3"/>
        <w:numId w:val="6"/>
      </w:numPr>
      <w:spacing w:before="40" w:after="0"/>
      <w:outlineLvl w:val="3"/>
    </w:pPr>
    <w:rPr>
      <w:rFonts w:eastAsiaTheme="majorEastAsia"/>
      <w:iCs/>
    </w:rPr>
  </w:style>
  <w:style w:type="paragraph" w:styleId="Kop5">
    <w:name w:val="heading 5"/>
    <w:basedOn w:val="Standaard"/>
    <w:next w:val="Standaard"/>
    <w:link w:val="Kop5Char"/>
    <w:uiPriority w:val="9"/>
    <w:semiHidden/>
    <w:unhideWhenUsed/>
    <w:qFormat/>
    <w:rsid w:val="00DA5552"/>
    <w:pPr>
      <w:keepNext/>
      <w:keepLines/>
      <w:numPr>
        <w:ilvl w:val="4"/>
        <w:numId w:val="6"/>
      </w:numPr>
      <w:spacing w:before="40" w:after="0"/>
      <w:outlineLvl w:val="4"/>
    </w:pPr>
    <w:rPr>
      <w:rFonts w:asciiTheme="majorHAnsi" w:eastAsiaTheme="majorEastAsia" w:hAnsiTheme="majorHAnsi"/>
      <w:color w:val="2E74B5" w:themeColor="accent1" w:themeShade="BF"/>
    </w:rPr>
  </w:style>
  <w:style w:type="paragraph" w:styleId="Kop6">
    <w:name w:val="heading 6"/>
    <w:basedOn w:val="Standaard"/>
    <w:next w:val="Standaard"/>
    <w:link w:val="Kop6Char"/>
    <w:uiPriority w:val="9"/>
    <w:semiHidden/>
    <w:unhideWhenUsed/>
    <w:qFormat/>
    <w:rsid w:val="00DA5552"/>
    <w:pPr>
      <w:keepNext/>
      <w:keepLines/>
      <w:numPr>
        <w:ilvl w:val="5"/>
        <w:numId w:val="6"/>
      </w:numPr>
      <w:spacing w:before="40" w:after="0"/>
      <w:outlineLvl w:val="5"/>
    </w:pPr>
    <w:rPr>
      <w:rFonts w:asciiTheme="majorHAnsi" w:eastAsiaTheme="majorEastAsia" w:hAnsiTheme="majorHAnsi"/>
      <w:color w:val="1F4D78" w:themeColor="accent1" w:themeShade="7F"/>
    </w:rPr>
  </w:style>
  <w:style w:type="paragraph" w:styleId="Kop7">
    <w:name w:val="heading 7"/>
    <w:basedOn w:val="Standaard"/>
    <w:next w:val="Standaard"/>
    <w:link w:val="Kop7Char"/>
    <w:uiPriority w:val="9"/>
    <w:semiHidden/>
    <w:unhideWhenUsed/>
    <w:qFormat/>
    <w:rsid w:val="00DA5552"/>
    <w:pPr>
      <w:keepNext/>
      <w:keepLines/>
      <w:numPr>
        <w:ilvl w:val="6"/>
        <w:numId w:val="6"/>
      </w:numPr>
      <w:spacing w:before="40" w:after="0"/>
      <w:outlineLvl w:val="6"/>
    </w:pPr>
    <w:rPr>
      <w:rFonts w:asciiTheme="majorHAnsi" w:eastAsiaTheme="majorEastAsia" w:hAnsiTheme="majorHAnsi"/>
      <w:i/>
      <w:iCs/>
      <w:color w:val="1F4D78" w:themeColor="accent1" w:themeShade="7F"/>
    </w:rPr>
  </w:style>
  <w:style w:type="paragraph" w:styleId="Kop8">
    <w:name w:val="heading 8"/>
    <w:basedOn w:val="Standaard"/>
    <w:next w:val="Standaard"/>
    <w:link w:val="Kop8Char"/>
    <w:uiPriority w:val="9"/>
    <w:semiHidden/>
    <w:unhideWhenUsed/>
    <w:qFormat/>
    <w:rsid w:val="00DA5552"/>
    <w:pPr>
      <w:keepNext/>
      <w:keepLines/>
      <w:numPr>
        <w:ilvl w:val="7"/>
        <w:numId w:val="6"/>
      </w:numPr>
      <w:spacing w:before="40" w:after="0"/>
      <w:outlineLvl w:val="7"/>
    </w:pPr>
    <w:rPr>
      <w:rFonts w:asciiTheme="majorHAnsi" w:eastAsiaTheme="majorEastAsia" w:hAnsiTheme="majorHAnsi"/>
      <w:color w:val="272727" w:themeColor="text1" w:themeTint="D8"/>
      <w:sz w:val="21"/>
      <w:szCs w:val="21"/>
    </w:rPr>
  </w:style>
  <w:style w:type="paragraph" w:styleId="Kop9">
    <w:name w:val="heading 9"/>
    <w:basedOn w:val="Standaard"/>
    <w:next w:val="Standaard"/>
    <w:link w:val="Kop9Char"/>
    <w:uiPriority w:val="9"/>
    <w:semiHidden/>
    <w:unhideWhenUsed/>
    <w:qFormat/>
    <w:rsid w:val="00DA5552"/>
    <w:pPr>
      <w:keepNext/>
      <w:keepLines/>
      <w:numPr>
        <w:ilvl w:val="8"/>
        <w:numId w:val="6"/>
      </w:numPr>
      <w:spacing w:before="40" w:after="0"/>
      <w:outlineLvl w:val="8"/>
    </w:pPr>
    <w:rPr>
      <w:rFonts w:asciiTheme="majorHAnsi" w:eastAsiaTheme="majorEastAsia" w:hAnsiTheme="majorHAns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4A349F"/>
    <w:rPr>
      <w:rFonts w:eastAsiaTheme="majorEastAsia" w:cs="Times New Roman"/>
      <w:b/>
      <w:sz w:val="24"/>
      <w:szCs w:val="32"/>
    </w:rPr>
  </w:style>
  <w:style w:type="character" w:customStyle="1" w:styleId="Kop2Char">
    <w:name w:val="Kop 2 Char"/>
    <w:basedOn w:val="Standaardalinea-lettertype"/>
    <w:link w:val="Kop2"/>
    <w:uiPriority w:val="9"/>
    <w:locked/>
    <w:rsid w:val="00D91028"/>
    <w:rPr>
      <w:rFonts w:eastAsiaTheme="majorEastAsia" w:cs="Times New Roman"/>
      <w:b/>
      <w:sz w:val="24"/>
      <w:szCs w:val="26"/>
    </w:rPr>
  </w:style>
  <w:style w:type="character" w:customStyle="1" w:styleId="Kop3Char">
    <w:name w:val="Kop 3 Char"/>
    <w:basedOn w:val="Standaardalinea-lettertype"/>
    <w:link w:val="Kop3"/>
    <w:uiPriority w:val="9"/>
    <w:locked/>
    <w:rsid w:val="00DA5552"/>
    <w:rPr>
      <w:rFonts w:eastAsiaTheme="majorEastAsia" w:cs="Times New Roman"/>
      <w:i/>
      <w:sz w:val="24"/>
      <w:szCs w:val="24"/>
    </w:rPr>
  </w:style>
  <w:style w:type="character" w:customStyle="1" w:styleId="Kop4Char">
    <w:name w:val="Kop 4 Char"/>
    <w:basedOn w:val="Standaardalinea-lettertype"/>
    <w:link w:val="Kop4"/>
    <w:uiPriority w:val="9"/>
    <w:locked/>
    <w:rsid w:val="00DA5552"/>
    <w:rPr>
      <w:rFonts w:eastAsiaTheme="majorEastAsia" w:cs="Times New Roman"/>
      <w:iCs/>
    </w:rPr>
  </w:style>
  <w:style w:type="character" w:customStyle="1" w:styleId="Kop5Char">
    <w:name w:val="Kop 5 Char"/>
    <w:basedOn w:val="Standaardalinea-lettertype"/>
    <w:link w:val="Kop5"/>
    <w:uiPriority w:val="9"/>
    <w:semiHidden/>
    <w:locked/>
    <w:rsid w:val="00DA5552"/>
    <w:rPr>
      <w:rFonts w:asciiTheme="majorHAnsi" w:eastAsiaTheme="majorEastAsia" w:hAnsiTheme="majorHAnsi" w:cs="Times New Roman"/>
      <w:color w:val="2E74B5" w:themeColor="accent1" w:themeShade="BF"/>
    </w:rPr>
  </w:style>
  <w:style w:type="character" w:customStyle="1" w:styleId="Kop6Char">
    <w:name w:val="Kop 6 Char"/>
    <w:basedOn w:val="Standaardalinea-lettertype"/>
    <w:link w:val="Kop6"/>
    <w:uiPriority w:val="9"/>
    <w:semiHidden/>
    <w:locked/>
    <w:rsid w:val="00DA5552"/>
    <w:rPr>
      <w:rFonts w:asciiTheme="majorHAnsi" w:eastAsiaTheme="majorEastAsia" w:hAnsiTheme="majorHAnsi" w:cs="Times New Roman"/>
      <w:color w:val="1F4D78" w:themeColor="accent1" w:themeShade="7F"/>
    </w:rPr>
  </w:style>
  <w:style w:type="character" w:customStyle="1" w:styleId="Kop7Char">
    <w:name w:val="Kop 7 Char"/>
    <w:basedOn w:val="Standaardalinea-lettertype"/>
    <w:link w:val="Kop7"/>
    <w:uiPriority w:val="9"/>
    <w:semiHidden/>
    <w:locked/>
    <w:rsid w:val="00DA5552"/>
    <w:rPr>
      <w:rFonts w:asciiTheme="majorHAnsi" w:eastAsiaTheme="majorEastAsia" w:hAnsiTheme="majorHAnsi" w:cs="Times New Roman"/>
      <w:i/>
      <w:iCs/>
      <w:color w:val="1F4D78" w:themeColor="accent1" w:themeShade="7F"/>
    </w:rPr>
  </w:style>
  <w:style w:type="character" w:customStyle="1" w:styleId="Kop8Char">
    <w:name w:val="Kop 8 Char"/>
    <w:basedOn w:val="Standaardalinea-lettertype"/>
    <w:link w:val="Kop8"/>
    <w:uiPriority w:val="9"/>
    <w:semiHidden/>
    <w:locked/>
    <w:rsid w:val="00DA5552"/>
    <w:rPr>
      <w:rFonts w:asciiTheme="majorHAnsi" w:eastAsiaTheme="majorEastAsia" w:hAnsiTheme="majorHAnsi" w:cs="Times New Roman"/>
      <w:color w:val="272727" w:themeColor="text1" w:themeTint="D8"/>
      <w:sz w:val="21"/>
      <w:szCs w:val="21"/>
    </w:rPr>
  </w:style>
  <w:style w:type="character" w:customStyle="1" w:styleId="Kop9Char">
    <w:name w:val="Kop 9 Char"/>
    <w:basedOn w:val="Standaardalinea-lettertype"/>
    <w:link w:val="Kop9"/>
    <w:uiPriority w:val="9"/>
    <w:semiHidden/>
    <w:locked/>
    <w:rsid w:val="00DA5552"/>
    <w:rPr>
      <w:rFonts w:asciiTheme="majorHAnsi" w:eastAsiaTheme="majorEastAsia" w:hAnsiTheme="majorHAnsi" w:cs="Times New Roman"/>
      <w:i/>
      <w:iCs/>
      <w:color w:val="272727" w:themeColor="text1" w:themeTint="D8"/>
      <w:sz w:val="21"/>
      <w:szCs w:val="21"/>
    </w:rPr>
  </w:style>
  <w:style w:type="paragraph" w:customStyle="1" w:styleId="Voetnoot">
    <w:name w:val="Voetnoot"/>
    <w:basedOn w:val="Voetnoottekst"/>
    <w:link w:val="VoetnootChar"/>
    <w:qFormat/>
    <w:rsid w:val="00971517"/>
    <w:rPr>
      <w:rFonts w:cs="Calibri"/>
      <w:sz w:val="22"/>
      <w:szCs w:val="22"/>
    </w:rPr>
  </w:style>
  <w:style w:type="character" w:customStyle="1" w:styleId="VoetnootChar">
    <w:name w:val="Voetnoot Char"/>
    <w:basedOn w:val="Standaardalinea-lettertype"/>
    <w:link w:val="Voetnoot"/>
    <w:locked/>
    <w:rsid w:val="00971517"/>
    <w:rPr>
      <w:rFonts w:cs="Calibri"/>
    </w:rPr>
  </w:style>
  <w:style w:type="paragraph" w:styleId="Voetnoottekst">
    <w:name w:val="footnote text"/>
    <w:basedOn w:val="Standaard"/>
    <w:link w:val="VoetnoottekstChar"/>
    <w:uiPriority w:val="99"/>
    <w:semiHidden/>
    <w:unhideWhenUsed/>
    <w:rsid w:val="00971517"/>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971517"/>
    <w:rPr>
      <w:rFonts w:cs="Times New Roman"/>
      <w:sz w:val="20"/>
      <w:szCs w:val="20"/>
    </w:rPr>
  </w:style>
  <w:style w:type="paragraph" w:styleId="Koptekst">
    <w:name w:val="header"/>
    <w:basedOn w:val="Standaard"/>
    <w:link w:val="KoptekstChar"/>
    <w:uiPriority w:val="99"/>
    <w:unhideWhenUsed/>
    <w:rsid w:val="00DA55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DA5552"/>
    <w:rPr>
      <w:rFonts w:cs="Times New Roman"/>
    </w:rPr>
  </w:style>
  <w:style w:type="paragraph" w:styleId="Voettekst">
    <w:name w:val="footer"/>
    <w:basedOn w:val="Standaard"/>
    <w:link w:val="VoettekstChar"/>
    <w:uiPriority w:val="99"/>
    <w:unhideWhenUsed/>
    <w:rsid w:val="00DA55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DA5552"/>
    <w:rPr>
      <w:rFonts w:cs="Times New Roman"/>
    </w:rPr>
  </w:style>
  <w:style w:type="paragraph" w:customStyle="1" w:styleId="Tekst">
    <w:name w:val="Tekst"/>
    <w:basedOn w:val="Standaard"/>
    <w:qFormat/>
    <w:rsid w:val="00DA5552"/>
    <w:pPr>
      <w:numPr>
        <w:numId w:val="7"/>
      </w:numPr>
    </w:pPr>
  </w:style>
  <w:style w:type="character" w:styleId="Voetnootmarkering">
    <w:name w:val="footnote reference"/>
    <w:basedOn w:val="Standaardalinea-lettertype"/>
    <w:uiPriority w:val="99"/>
    <w:semiHidden/>
    <w:unhideWhenUsed/>
    <w:rsid w:val="00DA5552"/>
    <w:rPr>
      <w:rFonts w:cs="Times New Roman"/>
      <w:vertAlign w:val="superscript"/>
    </w:rPr>
  </w:style>
  <w:style w:type="paragraph" w:customStyle="1" w:styleId="bijschrift">
    <w:name w:val="bijschrift"/>
    <w:basedOn w:val="Standaard"/>
    <w:rsid w:val="007F127D"/>
    <w:pPr>
      <w:widowControl w:val="0"/>
      <w:snapToGrid w:val="0"/>
      <w:spacing w:after="0" w:line="240" w:lineRule="auto"/>
      <w:jc w:val="both"/>
    </w:pPr>
    <w:rPr>
      <w:szCs w:val="20"/>
      <w:lang w:eastAsia="nl-NL"/>
    </w:rPr>
  </w:style>
  <w:style w:type="paragraph" w:styleId="Lijstalinea">
    <w:name w:val="List Paragraph"/>
    <w:basedOn w:val="Standaard"/>
    <w:uiPriority w:val="34"/>
    <w:qFormat/>
    <w:rsid w:val="001D3152"/>
    <w:pPr>
      <w:ind w:left="720"/>
      <w:contextualSpacing/>
    </w:pPr>
  </w:style>
  <w:style w:type="paragraph" w:styleId="Eindnoottekst">
    <w:name w:val="endnote text"/>
    <w:basedOn w:val="Standaard"/>
    <w:link w:val="EindnoottekstChar"/>
    <w:uiPriority w:val="99"/>
    <w:semiHidden/>
    <w:unhideWhenUsed/>
    <w:rsid w:val="00457368"/>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457368"/>
    <w:rPr>
      <w:rFonts w:cs="Times New Roman"/>
      <w:sz w:val="20"/>
      <w:szCs w:val="20"/>
    </w:rPr>
  </w:style>
  <w:style w:type="character" w:styleId="Eindnootmarkering">
    <w:name w:val="endnote reference"/>
    <w:basedOn w:val="Standaardalinea-lettertype"/>
    <w:uiPriority w:val="99"/>
    <w:semiHidden/>
    <w:unhideWhenUsed/>
    <w:rsid w:val="00457368"/>
    <w:rPr>
      <w:vertAlign w:val="superscript"/>
    </w:rPr>
  </w:style>
  <w:style w:type="character" w:styleId="Hyperlink">
    <w:name w:val="Hyperlink"/>
    <w:basedOn w:val="Standaardalinea-lettertype"/>
    <w:uiPriority w:val="99"/>
    <w:unhideWhenUsed/>
    <w:rsid w:val="00252B10"/>
    <w:rPr>
      <w:color w:val="0563C1" w:themeColor="hyperlink"/>
      <w:u w:val="single"/>
    </w:rPr>
  </w:style>
  <w:style w:type="character" w:styleId="Onopgelostemelding">
    <w:name w:val="Unresolved Mention"/>
    <w:basedOn w:val="Standaardalinea-lettertype"/>
    <w:uiPriority w:val="99"/>
    <w:semiHidden/>
    <w:unhideWhenUsed/>
    <w:rsid w:val="00252B10"/>
    <w:rPr>
      <w:color w:val="605E5C"/>
      <w:shd w:val="clear" w:color="auto" w:fill="E1DFDD"/>
    </w:rPr>
  </w:style>
  <w:style w:type="paragraph" w:styleId="Duidelijkcitaat">
    <w:name w:val="Intense Quote"/>
    <w:basedOn w:val="Standaard"/>
    <w:next w:val="Standaard"/>
    <w:link w:val="DuidelijkcitaatChar"/>
    <w:uiPriority w:val="30"/>
    <w:qFormat/>
    <w:rsid w:val="006713B4"/>
    <w:pPr>
      <w:pBdr>
        <w:top w:val="single" w:sz="4" w:space="10" w:color="2E74B5" w:themeColor="accent1" w:themeShade="BF"/>
        <w:bottom w:val="single" w:sz="4" w:space="10" w:color="2E74B5" w:themeColor="accent1" w:themeShade="BF"/>
      </w:pBdr>
      <w:spacing w:before="360" w:after="360"/>
      <w:ind w:left="864" w:right="864"/>
      <w:jc w:val="center"/>
    </w:pPr>
    <w:rPr>
      <w:rFonts w:eastAsiaTheme="minorHAnsi" w:cstheme="minorBidi"/>
      <w:i/>
      <w:iCs/>
      <w:color w:val="2E74B5"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6713B4"/>
    <w:rPr>
      <w:rFonts w:eastAsiaTheme="minorHAnsi" w:cstheme="minorBidi"/>
      <w:i/>
      <w:iCs/>
      <w:color w:val="2E74B5" w:themeColor="accent1" w:themeShade="BF"/>
      <w:kern w:val="2"/>
      <w14:ligatures w14:val="standardContextual"/>
    </w:rPr>
  </w:style>
  <w:style w:type="character" w:styleId="Verwijzingopmerking">
    <w:name w:val="annotation reference"/>
    <w:basedOn w:val="Standaardalinea-lettertype"/>
    <w:uiPriority w:val="99"/>
    <w:semiHidden/>
    <w:unhideWhenUsed/>
    <w:rsid w:val="00DF220B"/>
    <w:rPr>
      <w:sz w:val="16"/>
      <w:szCs w:val="16"/>
    </w:rPr>
  </w:style>
  <w:style w:type="paragraph" w:styleId="Tekstopmerking">
    <w:name w:val="annotation text"/>
    <w:basedOn w:val="Standaard"/>
    <w:link w:val="TekstopmerkingChar"/>
    <w:uiPriority w:val="99"/>
    <w:unhideWhenUsed/>
    <w:rsid w:val="00DF220B"/>
    <w:pPr>
      <w:spacing w:line="240" w:lineRule="auto"/>
    </w:pPr>
    <w:rPr>
      <w:sz w:val="20"/>
      <w:szCs w:val="20"/>
    </w:rPr>
  </w:style>
  <w:style w:type="character" w:customStyle="1" w:styleId="TekstopmerkingChar">
    <w:name w:val="Tekst opmerking Char"/>
    <w:basedOn w:val="Standaardalinea-lettertype"/>
    <w:link w:val="Tekstopmerking"/>
    <w:uiPriority w:val="99"/>
    <w:rsid w:val="00DF220B"/>
    <w:rPr>
      <w:rFonts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F220B"/>
    <w:rPr>
      <w:b/>
      <w:bCs/>
    </w:rPr>
  </w:style>
  <w:style w:type="character" w:customStyle="1" w:styleId="OnderwerpvanopmerkingChar">
    <w:name w:val="Onderwerp van opmerking Char"/>
    <w:basedOn w:val="TekstopmerkingChar"/>
    <w:link w:val="Onderwerpvanopmerking"/>
    <w:uiPriority w:val="99"/>
    <w:semiHidden/>
    <w:rsid w:val="00DF220B"/>
    <w:rPr>
      <w:rFonts w:cs="Times New Roman"/>
      <w:b/>
      <w:bCs/>
      <w:sz w:val="20"/>
      <w:szCs w:val="20"/>
    </w:rPr>
  </w:style>
  <w:style w:type="character" w:styleId="GevolgdeHyperlink">
    <w:name w:val="FollowedHyperlink"/>
    <w:basedOn w:val="Standaardalinea-lettertype"/>
    <w:uiPriority w:val="99"/>
    <w:semiHidden/>
    <w:unhideWhenUsed/>
    <w:rsid w:val="009658FC"/>
    <w:rPr>
      <w:color w:val="954F72" w:themeColor="followedHyperlink"/>
      <w:u w:val="single"/>
    </w:rPr>
  </w:style>
  <w:style w:type="paragraph" w:styleId="Normaalweb">
    <w:name w:val="Normal (Web)"/>
    <w:basedOn w:val="Standaard"/>
    <w:uiPriority w:val="99"/>
    <w:semiHidden/>
    <w:unhideWhenUsed/>
    <w:rsid w:val="00AC7C7C"/>
    <w:rPr>
      <w:rFonts w:ascii="Times New Roman" w:hAnsi="Times New Roman"/>
      <w:sz w:val="24"/>
      <w:szCs w:val="24"/>
    </w:rPr>
  </w:style>
  <w:style w:type="paragraph" w:styleId="Revisie">
    <w:name w:val="Revision"/>
    <w:hidden/>
    <w:uiPriority w:val="99"/>
    <w:semiHidden/>
    <w:rsid w:val="005574FA"/>
    <w:pPr>
      <w:spacing w:after="0" w:line="240" w:lineRule="auto"/>
    </w:pPr>
    <w:rPr>
      <w:rFonts w:cs="Times New Roman"/>
    </w:rPr>
  </w:style>
  <w:style w:type="paragraph" w:styleId="Inhopg1">
    <w:name w:val="toc 1"/>
    <w:basedOn w:val="Standaard"/>
    <w:next w:val="Standaard"/>
    <w:autoRedefine/>
    <w:uiPriority w:val="39"/>
    <w:unhideWhenUsed/>
    <w:rsid w:val="00BB0F52"/>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BB0F52"/>
    <w:pPr>
      <w:spacing w:after="0"/>
      <w:ind w:left="220"/>
    </w:pPr>
    <w:rPr>
      <w:rFonts w:cstheme="minorHAnsi"/>
      <w:smallCaps/>
      <w:sz w:val="20"/>
      <w:szCs w:val="20"/>
    </w:rPr>
  </w:style>
  <w:style w:type="paragraph" w:styleId="Inhopg3">
    <w:name w:val="toc 3"/>
    <w:basedOn w:val="Standaard"/>
    <w:next w:val="Standaard"/>
    <w:autoRedefine/>
    <w:uiPriority w:val="39"/>
    <w:unhideWhenUsed/>
    <w:rsid w:val="00BB0F52"/>
    <w:pPr>
      <w:spacing w:after="0"/>
      <w:ind w:left="440"/>
    </w:pPr>
    <w:rPr>
      <w:rFonts w:cstheme="minorHAnsi"/>
      <w:i/>
      <w:iCs/>
      <w:sz w:val="20"/>
      <w:szCs w:val="20"/>
    </w:rPr>
  </w:style>
  <w:style w:type="paragraph" w:styleId="Inhopg4">
    <w:name w:val="toc 4"/>
    <w:basedOn w:val="Standaard"/>
    <w:next w:val="Standaard"/>
    <w:autoRedefine/>
    <w:uiPriority w:val="39"/>
    <w:unhideWhenUsed/>
    <w:rsid w:val="00BB0F52"/>
    <w:pPr>
      <w:spacing w:after="0"/>
      <w:ind w:left="660"/>
    </w:pPr>
    <w:rPr>
      <w:rFonts w:cstheme="minorHAnsi"/>
      <w:sz w:val="18"/>
      <w:szCs w:val="18"/>
    </w:rPr>
  </w:style>
  <w:style w:type="paragraph" w:styleId="Inhopg5">
    <w:name w:val="toc 5"/>
    <w:basedOn w:val="Standaard"/>
    <w:next w:val="Standaard"/>
    <w:autoRedefine/>
    <w:uiPriority w:val="39"/>
    <w:unhideWhenUsed/>
    <w:rsid w:val="00BB0F52"/>
    <w:pPr>
      <w:spacing w:after="0"/>
      <w:ind w:left="880"/>
    </w:pPr>
    <w:rPr>
      <w:rFonts w:cstheme="minorHAnsi"/>
      <w:sz w:val="18"/>
      <w:szCs w:val="18"/>
    </w:rPr>
  </w:style>
  <w:style w:type="paragraph" w:styleId="Inhopg6">
    <w:name w:val="toc 6"/>
    <w:basedOn w:val="Standaard"/>
    <w:next w:val="Standaard"/>
    <w:autoRedefine/>
    <w:uiPriority w:val="39"/>
    <w:unhideWhenUsed/>
    <w:rsid w:val="00BB0F52"/>
    <w:pPr>
      <w:spacing w:after="0"/>
      <w:ind w:left="1100"/>
    </w:pPr>
    <w:rPr>
      <w:rFonts w:cstheme="minorHAnsi"/>
      <w:sz w:val="18"/>
      <w:szCs w:val="18"/>
    </w:rPr>
  </w:style>
  <w:style w:type="paragraph" w:styleId="Inhopg7">
    <w:name w:val="toc 7"/>
    <w:basedOn w:val="Standaard"/>
    <w:next w:val="Standaard"/>
    <w:autoRedefine/>
    <w:uiPriority w:val="39"/>
    <w:unhideWhenUsed/>
    <w:rsid w:val="00BB0F52"/>
    <w:pPr>
      <w:spacing w:after="0"/>
      <w:ind w:left="1320"/>
    </w:pPr>
    <w:rPr>
      <w:rFonts w:cstheme="minorHAnsi"/>
      <w:sz w:val="18"/>
      <w:szCs w:val="18"/>
    </w:rPr>
  </w:style>
  <w:style w:type="paragraph" w:styleId="Inhopg8">
    <w:name w:val="toc 8"/>
    <w:basedOn w:val="Standaard"/>
    <w:next w:val="Standaard"/>
    <w:autoRedefine/>
    <w:uiPriority w:val="39"/>
    <w:unhideWhenUsed/>
    <w:rsid w:val="00BB0F52"/>
    <w:pPr>
      <w:spacing w:after="0"/>
      <w:ind w:left="1540"/>
    </w:pPr>
    <w:rPr>
      <w:rFonts w:cstheme="minorHAnsi"/>
      <w:sz w:val="18"/>
      <w:szCs w:val="18"/>
    </w:rPr>
  </w:style>
  <w:style w:type="paragraph" w:styleId="Inhopg9">
    <w:name w:val="toc 9"/>
    <w:basedOn w:val="Standaard"/>
    <w:next w:val="Standaard"/>
    <w:autoRedefine/>
    <w:uiPriority w:val="39"/>
    <w:unhideWhenUsed/>
    <w:rsid w:val="00BB0F52"/>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4767">
      <w:bodyDiv w:val="1"/>
      <w:marLeft w:val="0"/>
      <w:marRight w:val="0"/>
      <w:marTop w:val="0"/>
      <w:marBottom w:val="0"/>
      <w:divBdr>
        <w:top w:val="none" w:sz="0" w:space="0" w:color="auto"/>
        <w:left w:val="none" w:sz="0" w:space="0" w:color="auto"/>
        <w:bottom w:val="none" w:sz="0" w:space="0" w:color="auto"/>
        <w:right w:val="none" w:sz="0" w:space="0" w:color="auto"/>
      </w:divBdr>
    </w:div>
    <w:div w:id="239289223">
      <w:bodyDiv w:val="1"/>
      <w:marLeft w:val="0"/>
      <w:marRight w:val="0"/>
      <w:marTop w:val="0"/>
      <w:marBottom w:val="0"/>
      <w:divBdr>
        <w:top w:val="none" w:sz="0" w:space="0" w:color="auto"/>
        <w:left w:val="none" w:sz="0" w:space="0" w:color="auto"/>
        <w:bottom w:val="none" w:sz="0" w:space="0" w:color="auto"/>
        <w:right w:val="none" w:sz="0" w:space="0" w:color="auto"/>
      </w:divBdr>
    </w:div>
    <w:div w:id="725301414">
      <w:bodyDiv w:val="1"/>
      <w:marLeft w:val="0"/>
      <w:marRight w:val="0"/>
      <w:marTop w:val="0"/>
      <w:marBottom w:val="0"/>
      <w:divBdr>
        <w:top w:val="none" w:sz="0" w:space="0" w:color="auto"/>
        <w:left w:val="none" w:sz="0" w:space="0" w:color="auto"/>
        <w:bottom w:val="none" w:sz="0" w:space="0" w:color="auto"/>
        <w:right w:val="none" w:sz="0" w:space="0" w:color="auto"/>
      </w:divBdr>
    </w:div>
    <w:div w:id="742876853">
      <w:bodyDiv w:val="1"/>
      <w:marLeft w:val="0"/>
      <w:marRight w:val="0"/>
      <w:marTop w:val="0"/>
      <w:marBottom w:val="0"/>
      <w:divBdr>
        <w:top w:val="none" w:sz="0" w:space="0" w:color="auto"/>
        <w:left w:val="none" w:sz="0" w:space="0" w:color="auto"/>
        <w:bottom w:val="none" w:sz="0" w:space="0" w:color="auto"/>
        <w:right w:val="none" w:sz="0" w:space="0" w:color="auto"/>
      </w:divBdr>
      <w:divsChild>
        <w:div w:id="226066381">
          <w:marLeft w:val="0"/>
          <w:marRight w:val="0"/>
          <w:marTop w:val="0"/>
          <w:marBottom w:val="0"/>
          <w:divBdr>
            <w:top w:val="none" w:sz="0" w:space="0" w:color="auto"/>
            <w:left w:val="none" w:sz="0" w:space="0" w:color="auto"/>
            <w:bottom w:val="none" w:sz="0" w:space="0" w:color="auto"/>
            <w:right w:val="none" w:sz="0" w:space="0" w:color="auto"/>
          </w:divBdr>
        </w:div>
        <w:div w:id="377434680">
          <w:marLeft w:val="0"/>
          <w:marRight w:val="0"/>
          <w:marTop w:val="0"/>
          <w:marBottom w:val="0"/>
          <w:divBdr>
            <w:top w:val="none" w:sz="0" w:space="0" w:color="auto"/>
            <w:left w:val="none" w:sz="0" w:space="0" w:color="auto"/>
            <w:bottom w:val="none" w:sz="0" w:space="0" w:color="auto"/>
            <w:right w:val="none" w:sz="0" w:space="0" w:color="auto"/>
          </w:divBdr>
        </w:div>
      </w:divsChild>
    </w:div>
    <w:div w:id="988755125">
      <w:bodyDiv w:val="1"/>
      <w:marLeft w:val="0"/>
      <w:marRight w:val="0"/>
      <w:marTop w:val="0"/>
      <w:marBottom w:val="0"/>
      <w:divBdr>
        <w:top w:val="none" w:sz="0" w:space="0" w:color="auto"/>
        <w:left w:val="none" w:sz="0" w:space="0" w:color="auto"/>
        <w:bottom w:val="none" w:sz="0" w:space="0" w:color="auto"/>
        <w:right w:val="none" w:sz="0" w:space="0" w:color="auto"/>
      </w:divBdr>
      <w:divsChild>
        <w:div w:id="554850512">
          <w:marLeft w:val="0"/>
          <w:marRight w:val="0"/>
          <w:marTop w:val="0"/>
          <w:marBottom w:val="0"/>
          <w:divBdr>
            <w:top w:val="none" w:sz="0" w:space="0" w:color="auto"/>
            <w:left w:val="none" w:sz="0" w:space="0" w:color="auto"/>
            <w:bottom w:val="none" w:sz="0" w:space="0" w:color="auto"/>
            <w:right w:val="none" w:sz="0" w:space="0" w:color="auto"/>
          </w:divBdr>
        </w:div>
        <w:div w:id="1450855497">
          <w:marLeft w:val="0"/>
          <w:marRight w:val="0"/>
          <w:marTop w:val="0"/>
          <w:marBottom w:val="0"/>
          <w:divBdr>
            <w:top w:val="none" w:sz="0" w:space="0" w:color="auto"/>
            <w:left w:val="none" w:sz="0" w:space="0" w:color="auto"/>
            <w:bottom w:val="none" w:sz="0" w:space="0" w:color="auto"/>
            <w:right w:val="none" w:sz="0" w:space="0" w:color="auto"/>
          </w:divBdr>
        </w:div>
      </w:divsChild>
    </w:div>
    <w:div w:id="10871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50256">
          <w:marLeft w:val="0"/>
          <w:marRight w:val="0"/>
          <w:marTop w:val="0"/>
          <w:marBottom w:val="0"/>
          <w:divBdr>
            <w:top w:val="none" w:sz="0" w:space="0" w:color="auto"/>
            <w:left w:val="none" w:sz="0" w:space="0" w:color="auto"/>
            <w:bottom w:val="none" w:sz="0" w:space="0" w:color="auto"/>
            <w:right w:val="none" w:sz="0" w:space="0" w:color="auto"/>
          </w:divBdr>
        </w:div>
        <w:div w:id="1959025097">
          <w:marLeft w:val="0"/>
          <w:marRight w:val="0"/>
          <w:marTop w:val="0"/>
          <w:marBottom w:val="0"/>
          <w:divBdr>
            <w:top w:val="none" w:sz="0" w:space="0" w:color="auto"/>
            <w:left w:val="none" w:sz="0" w:space="0" w:color="auto"/>
            <w:bottom w:val="none" w:sz="0" w:space="0" w:color="auto"/>
            <w:right w:val="none" w:sz="0" w:space="0" w:color="auto"/>
          </w:divBdr>
        </w:div>
      </w:divsChild>
    </w:div>
    <w:div w:id="1093162700">
      <w:bodyDiv w:val="1"/>
      <w:marLeft w:val="0"/>
      <w:marRight w:val="0"/>
      <w:marTop w:val="0"/>
      <w:marBottom w:val="0"/>
      <w:divBdr>
        <w:top w:val="none" w:sz="0" w:space="0" w:color="auto"/>
        <w:left w:val="none" w:sz="0" w:space="0" w:color="auto"/>
        <w:bottom w:val="none" w:sz="0" w:space="0" w:color="auto"/>
        <w:right w:val="none" w:sz="0" w:space="0" w:color="auto"/>
      </w:divBdr>
    </w:div>
    <w:div w:id="1398434617">
      <w:bodyDiv w:val="1"/>
      <w:marLeft w:val="0"/>
      <w:marRight w:val="0"/>
      <w:marTop w:val="0"/>
      <w:marBottom w:val="0"/>
      <w:divBdr>
        <w:top w:val="none" w:sz="0" w:space="0" w:color="auto"/>
        <w:left w:val="none" w:sz="0" w:space="0" w:color="auto"/>
        <w:bottom w:val="none" w:sz="0" w:space="0" w:color="auto"/>
        <w:right w:val="none" w:sz="0" w:space="0" w:color="auto"/>
      </w:divBdr>
      <w:divsChild>
        <w:div w:id="211507302">
          <w:marLeft w:val="0"/>
          <w:marRight w:val="0"/>
          <w:marTop w:val="0"/>
          <w:marBottom w:val="0"/>
          <w:divBdr>
            <w:top w:val="none" w:sz="0" w:space="0" w:color="auto"/>
            <w:left w:val="none" w:sz="0" w:space="0" w:color="auto"/>
            <w:bottom w:val="none" w:sz="0" w:space="0" w:color="auto"/>
            <w:right w:val="none" w:sz="0" w:space="0" w:color="auto"/>
          </w:divBdr>
        </w:div>
      </w:divsChild>
    </w:div>
    <w:div w:id="1626811712">
      <w:bodyDiv w:val="1"/>
      <w:marLeft w:val="0"/>
      <w:marRight w:val="0"/>
      <w:marTop w:val="0"/>
      <w:marBottom w:val="0"/>
      <w:divBdr>
        <w:top w:val="none" w:sz="0" w:space="0" w:color="auto"/>
        <w:left w:val="none" w:sz="0" w:space="0" w:color="auto"/>
        <w:bottom w:val="none" w:sz="0" w:space="0" w:color="auto"/>
        <w:right w:val="none" w:sz="0" w:space="0" w:color="auto"/>
      </w:divBdr>
    </w:div>
    <w:div w:id="1742368958">
      <w:bodyDiv w:val="1"/>
      <w:marLeft w:val="0"/>
      <w:marRight w:val="0"/>
      <w:marTop w:val="0"/>
      <w:marBottom w:val="0"/>
      <w:divBdr>
        <w:top w:val="none" w:sz="0" w:space="0" w:color="auto"/>
        <w:left w:val="none" w:sz="0" w:space="0" w:color="auto"/>
        <w:bottom w:val="none" w:sz="0" w:space="0" w:color="auto"/>
        <w:right w:val="none" w:sz="0" w:space="0" w:color="auto"/>
      </w:divBdr>
    </w:div>
    <w:div w:id="1781606747">
      <w:bodyDiv w:val="1"/>
      <w:marLeft w:val="0"/>
      <w:marRight w:val="0"/>
      <w:marTop w:val="0"/>
      <w:marBottom w:val="0"/>
      <w:divBdr>
        <w:top w:val="none" w:sz="0" w:space="0" w:color="auto"/>
        <w:left w:val="none" w:sz="0" w:space="0" w:color="auto"/>
        <w:bottom w:val="none" w:sz="0" w:space="0" w:color="auto"/>
        <w:right w:val="none" w:sz="0" w:space="0" w:color="auto"/>
      </w:divBdr>
    </w:div>
    <w:div w:id="1813473874">
      <w:bodyDiv w:val="1"/>
      <w:marLeft w:val="0"/>
      <w:marRight w:val="0"/>
      <w:marTop w:val="0"/>
      <w:marBottom w:val="0"/>
      <w:divBdr>
        <w:top w:val="none" w:sz="0" w:space="0" w:color="auto"/>
        <w:left w:val="none" w:sz="0" w:space="0" w:color="auto"/>
        <w:bottom w:val="none" w:sz="0" w:space="0" w:color="auto"/>
        <w:right w:val="none" w:sz="0" w:space="0" w:color="auto"/>
      </w:divBdr>
      <w:divsChild>
        <w:div w:id="109205317">
          <w:marLeft w:val="0"/>
          <w:marRight w:val="0"/>
          <w:marTop w:val="0"/>
          <w:marBottom w:val="0"/>
          <w:divBdr>
            <w:top w:val="none" w:sz="0" w:space="0" w:color="auto"/>
            <w:left w:val="none" w:sz="0" w:space="0" w:color="auto"/>
            <w:bottom w:val="none" w:sz="0" w:space="0" w:color="auto"/>
            <w:right w:val="none" w:sz="0" w:space="0" w:color="auto"/>
          </w:divBdr>
        </w:div>
        <w:div w:id="11510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hrw.org/news/2023/07/06/ukraine-civilian-deaths-cluster-munitions" TargetMode="External"/><Relationship Id="rId18" Type="http://schemas.openxmlformats.org/officeDocument/2006/relationships/hyperlink" Target="https://www.trouw.nl/nieuws/defensie-vernietigt-clusterbommen-van-f-16-s~b5217225/" TargetMode="External"/><Relationship Id="rId26" Type="http://schemas.openxmlformats.org/officeDocument/2006/relationships/hyperlink" Target="https://law.yale.edu/sites/default/files/documents/pdf/cglc/yale_law_school_-_meaning_of_assist_encourage_or_induce.pdf" TargetMode="External"/><Relationship Id="rId39" Type="http://schemas.openxmlformats.org/officeDocument/2006/relationships/hyperlink" Target="https://zoek.officielebekendmakingen.nl/kst-21501-02-GM.pdf" TargetMode="External"/><Relationship Id="rId21" Type="http://schemas.openxmlformats.org/officeDocument/2006/relationships/hyperlink" Target="https://zoek.officielebekendmakingen.nl/kst-21501-02-GM.html" TargetMode="External"/><Relationship Id="rId34" Type="http://schemas.openxmlformats.org/officeDocument/2006/relationships/hyperlink" Target="https://zoek.officielebekendmakingen.nl/kst-32187-6.html" TargetMode="External"/><Relationship Id="rId42" Type="http://schemas.openxmlformats.org/officeDocument/2006/relationships/hyperlink" Target="https://www.hrw.org/news/2023/07/06/ukraine-civilian-deaths-cluster-munitions" TargetMode="External"/><Relationship Id="rId7" Type="http://schemas.openxmlformats.org/officeDocument/2006/relationships/hyperlink" Target="https://www.defensie.nl/onderwerpen/materieel/nieuws/2024/07/10/%E2%82%AC-300-miljoen-extra-om-voor-oekraine-bestemde-f-16s-te-bewapenen" TargetMode="External"/><Relationship Id="rId2" Type="http://schemas.openxmlformats.org/officeDocument/2006/relationships/hyperlink" Target="https://www.defensie.nl/onderwerpen/oostflank-navo-gebied/nieuws/2024/10/05/na-f-16s-kondigt-brekelmans-in-oekraine-actieplan-drones-aan" TargetMode="External"/><Relationship Id="rId16" Type="http://schemas.openxmlformats.org/officeDocument/2006/relationships/hyperlink" Target="https://www.hrw.org/news/2015/03/19/ukraine-more-civilians-killed-cluster-munition-attacks" TargetMode="External"/><Relationship Id="rId29" Type="http://schemas.openxmlformats.org/officeDocument/2006/relationships/hyperlink" Target="https://zoek.officielebekendmakingen.nl/kst-32187-3.html" TargetMode="External"/><Relationship Id="rId1" Type="http://schemas.openxmlformats.org/officeDocument/2006/relationships/hyperlink" Target="https://www.defensie.nl/onderwerpen/oostflank-navo-gebied/militaire-steun-aan-oekraine" TargetMode="External"/><Relationship Id="rId6" Type="http://schemas.openxmlformats.org/officeDocument/2006/relationships/hyperlink" Target="https://www.defensie.nl/onderwerpen/oostflank-navo-gebied/nieuws/2024/09/06/munitie-en-ondersteuningsmaterialen-voor-oekraiense-f-16s" TargetMode="External"/><Relationship Id="rId11" Type="http://schemas.openxmlformats.org/officeDocument/2006/relationships/hyperlink" Target="https://x.com/oleksiireznikov/status/1677410470108471298" TargetMode="External"/><Relationship Id="rId24" Type="http://schemas.openxmlformats.org/officeDocument/2006/relationships/hyperlink" Target="https://wetten.overheid.nl/BWBV0003143/2011-08-01" TargetMode="External"/><Relationship Id="rId32" Type="http://schemas.openxmlformats.org/officeDocument/2006/relationships/hyperlink" Target="https://www.icrc.org/en/document/convention-cluster-munitions-interoperability-and-national-legislation" TargetMode="External"/><Relationship Id="rId37" Type="http://schemas.openxmlformats.org/officeDocument/2006/relationships/hyperlink" Target="https://zoek.officielebekendmakingen.nl/kst-21501-02-GM.pdf" TargetMode="External"/><Relationship Id="rId40" Type="http://schemas.openxmlformats.org/officeDocument/2006/relationships/hyperlink" Target="https://zoek.officielebekendmakingen.nl/kst-21501-02-GM.html" TargetMode="External"/><Relationship Id="rId45" Type="http://schemas.openxmlformats.org/officeDocument/2006/relationships/hyperlink" Target="https://www.raadvanstate.nl/adviezen/@64744/w07-07-0100-ii/" TargetMode="External"/><Relationship Id="rId5" Type="http://schemas.openxmlformats.org/officeDocument/2006/relationships/hyperlink" Target="https://www.defensie.nl/onderwerpen/oostflank-navo-gebied/nieuws/2024/05/21/oekraiense-militairen-in-nederland-opgeleid-voor-onderhoud-f-16s" TargetMode="External"/><Relationship Id="rId15" Type="http://schemas.openxmlformats.org/officeDocument/2006/relationships/hyperlink" Target="https://www.hrw.org/news/2014/10/20/ukraine-widespread-use-cluster-munitions" TargetMode="External"/><Relationship Id="rId23" Type="http://schemas.openxmlformats.org/officeDocument/2006/relationships/hyperlink" Target="https://www.rijksoverheid.nl/onderwerpen/internationale-vrede-en-veiligheid/internationaal-beleid-wapenbeheersing/verdragen-tegen-conventionele-wapens" TargetMode="External"/><Relationship Id="rId28" Type="http://schemas.openxmlformats.org/officeDocument/2006/relationships/hyperlink" Target="https://zoek.officielebekendmakingen.nl/kst-32187-3.html" TargetMode="External"/><Relationship Id="rId36" Type="http://schemas.openxmlformats.org/officeDocument/2006/relationships/hyperlink" Target="https://zoek.officielebekendmakingen.nl/kst-21501-02-GM.pdf" TargetMode="External"/><Relationship Id="rId10" Type="http://schemas.openxmlformats.org/officeDocument/2006/relationships/hyperlink" Target="https://www.hrw.org/news/2023/07/06/ukraine-civilian-deaths-cluster-munitions" TargetMode="External"/><Relationship Id="rId19" Type="http://schemas.openxmlformats.org/officeDocument/2006/relationships/hyperlink" Target="https://www.economist.com/europe/2024/08/04/how-much-of-a-difference-will-ukraines-new-f-16s-make" TargetMode="External"/><Relationship Id="rId31" Type="http://schemas.openxmlformats.org/officeDocument/2006/relationships/hyperlink" Target="https://zoek.officielebekendmakingen.nl/kst-36410-V-L.pdf" TargetMode="External"/><Relationship Id="rId44" Type="http://schemas.openxmlformats.org/officeDocument/2006/relationships/hyperlink" Target="https://www.rijksoverheid.nl/onderwerpen/internationale-vrede-en-veiligheid/internationaal-beleid-wapenbeheersing/verdragen-tegen-conventionele-wapens" TargetMode="External"/><Relationship Id="rId4" Type="http://schemas.openxmlformats.org/officeDocument/2006/relationships/hyperlink" Target="https://www.defensie.nl/onderwerpen/oostflank-navo-gebied/nieuws/2024/12/13/nederlandse-f16s-krijgen-een-nieuwe-bestemming-in-roemenie-voor-training-van-vliegers" TargetMode="External"/><Relationship Id="rId9" Type="http://schemas.openxmlformats.org/officeDocument/2006/relationships/hyperlink" Target="https://www.luchtvaartnieuws.nl/nieuws/categorie/4/militair/f-16s-actief-in-luchtruim-boven-oekraine" TargetMode="External"/><Relationship Id="rId14" Type="http://schemas.openxmlformats.org/officeDocument/2006/relationships/hyperlink" Target="https://www.hrw.org/news/2023/07/06/ukraine-civilian-deaths-cluster-munitions" TargetMode="External"/><Relationship Id="rId22" Type="http://schemas.openxmlformats.org/officeDocument/2006/relationships/hyperlink" Target="https://wetten.overheid.nl/BWBV0003143/2011-08-01" TargetMode="External"/><Relationship Id="rId27" Type="http://schemas.openxmlformats.org/officeDocument/2006/relationships/hyperlink" Target="https://verfassungsblog.de/cluster-munition-and-international-law/" TargetMode="External"/><Relationship Id="rId30" Type="http://schemas.openxmlformats.org/officeDocument/2006/relationships/hyperlink" Target="https://zoek.officielebekendmakingen.nl/kst-21501-02-GM.html" TargetMode="External"/><Relationship Id="rId35" Type="http://schemas.openxmlformats.org/officeDocument/2006/relationships/hyperlink" Target="https://zoek.officielebekendmakingen.nl/kst-21501-02-GM.pdf" TargetMode="External"/><Relationship Id="rId43" Type="http://schemas.openxmlformats.org/officeDocument/2006/relationships/hyperlink" Target="https://www.hrw.org/legacy/backgrounder/arms/clusters0704/2.htm" TargetMode="External"/><Relationship Id="rId8" Type="http://schemas.openxmlformats.org/officeDocument/2006/relationships/hyperlink" Target="https://www.defensie.nl/onderwerpen/materieel/nieuws/2024/07/10/%E2%82%AC-300-miljoen-extra-om-voor-oekraine-bestemde-f-16s-te-bewapenen" TargetMode="External"/><Relationship Id="rId3" Type="http://schemas.openxmlformats.org/officeDocument/2006/relationships/hyperlink" Target="https://www.defensie.nl/onderwerpen/oostflank-navo-gebied/militaire-steun-aan-oekraine" TargetMode="External"/><Relationship Id="rId12" Type="http://schemas.openxmlformats.org/officeDocument/2006/relationships/hyperlink" Target="https://www.ohchr.org/sites/default/files/documents/hrbodies/hrcouncil/coiukraine/A_HRC_52_62_AUV_EN.pdf" TargetMode="External"/><Relationship Id="rId17" Type="http://schemas.openxmlformats.org/officeDocument/2006/relationships/hyperlink" Target="https://www.hrw.org/news/2023/07/06/ukraine-civilian-deaths-cluster-munitions" TargetMode="External"/><Relationship Id="rId25" Type="http://schemas.openxmlformats.org/officeDocument/2006/relationships/hyperlink" Target="https://law.yale.edu/sites/default/files/documents/pdf/cglc/yale_law_school_-_meaning_of_assist_encourage_or_induce.pdf" TargetMode="External"/><Relationship Id="rId33" Type="http://schemas.openxmlformats.org/officeDocument/2006/relationships/hyperlink" Target="https://zoek.officielebekendmakingen.nl/kst-32187-3.html" TargetMode="External"/><Relationship Id="rId38" Type="http://schemas.openxmlformats.org/officeDocument/2006/relationships/hyperlink" Target="https://uitspraken.rechtspraak.nl/details?id=ECLI:NL:PHR:2024:1279" TargetMode="External"/><Relationship Id="rId46" Type="http://schemas.openxmlformats.org/officeDocument/2006/relationships/hyperlink" Target="https://wetten.overheid.nl/BWBV0006233/2014-12-24" TargetMode="External"/><Relationship Id="rId20" Type="http://schemas.openxmlformats.org/officeDocument/2006/relationships/hyperlink" Target="https://zoek.officielebekendmakingen.nl/kst-36410-V-L.pdf" TargetMode="External"/><Relationship Id="rId41" Type="http://schemas.openxmlformats.org/officeDocument/2006/relationships/hyperlink" Target="https://uitspraken.rechtspraak.nl/details?id=ECLI:NL:PHR:2024:12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merking xmlns="52ccf6cf-c3a5-4df8-b46d-400a07d4d845" xsi:nil="true"/>
    <lcf76f155ced4ddcb4097134ff3c332f xmlns="52ccf6cf-c3a5-4df8-b46d-400a07d4d845">
      <Terms xmlns="http://schemas.microsoft.com/office/infopath/2007/PartnerControls"/>
    </lcf76f155ced4ddcb4097134ff3c332f>
    <TaxCatchAll xmlns="537dc3cd-f700-4cfc-a540-bc2ea359c8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1A3A9B2759244486BAC3939394AF28" ma:contentTypeVersion="16" ma:contentTypeDescription="Een nieuw document maken." ma:contentTypeScope="" ma:versionID="8cb0a55a86511033c5ca0344a8e7ba4f">
  <xsd:schema xmlns:xsd="http://www.w3.org/2001/XMLSchema" xmlns:xs="http://www.w3.org/2001/XMLSchema" xmlns:p="http://schemas.microsoft.com/office/2006/metadata/properties" xmlns:ns2="52ccf6cf-c3a5-4df8-b46d-400a07d4d845" xmlns:ns3="537dc3cd-f700-4cfc-a540-bc2ea359c810" targetNamespace="http://schemas.microsoft.com/office/2006/metadata/properties" ma:root="true" ma:fieldsID="2528976dda4681c82b302ceeceff44cb" ns2:_="" ns3:_="">
    <xsd:import namespace="52ccf6cf-c3a5-4df8-b46d-400a07d4d845"/>
    <xsd:import namespace="537dc3cd-f700-4cfc-a540-bc2ea359c8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Opme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cf6cf-c3a5-4df8-b46d-400a07d4d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13f8ff9-0e43-4aea-9ac8-f87e1a65e6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merking" ma:index="23" nillable="true" ma:displayName="Opmerking " ma:format="Dropdown" ma:internalName="Opmerk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dc3cd-f700-4cfc-a540-bc2ea359c8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85bb9c-e73b-40c3-be33-4965e8f3051a}" ma:internalName="TaxCatchAll" ma:showField="CatchAllData" ma:web="537dc3cd-f700-4cfc-a540-bc2ea359c8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60A7D-C904-49F8-94AF-6A1FAE0CF6B4}">
  <ds:schemaRefs>
    <ds:schemaRef ds:uri="http://schemas.microsoft.com/office/2006/metadata/properties"/>
    <ds:schemaRef ds:uri="http://schemas.microsoft.com/office/infopath/2007/PartnerControls"/>
    <ds:schemaRef ds:uri="52ccf6cf-c3a5-4df8-b46d-400a07d4d845"/>
    <ds:schemaRef ds:uri="537dc3cd-f700-4cfc-a540-bc2ea359c810"/>
  </ds:schemaRefs>
</ds:datastoreItem>
</file>

<file path=customXml/itemProps2.xml><?xml version="1.0" encoding="utf-8"?>
<ds:datastoreItem xmlns:ds="http://schemas.openxmlformats.org/officeDocument/2006/customXml" ds:itemID="{C21846A8-B5B2-429C-9461-C88445A522FE}">
  <ds:schemaRefs>
    <ds:schemaRef ds:uri="http://schemas.microsoft.com/sharepoint/v3/contenttype/forms"/>
  </ds:schemaRefs>
</ds:datastoreItem>
</file>

<file path=customXml/itemProps3.xml><?xml version="1.0" encoding="utf-8"?>
<ds:datastoreItem xmlns:ds="http://schemas.openxmlformats.org/officeDocument/2006/customXml" ds:itemID="{6987F9AC-61CE-47B7-BF71-8128380B7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cf6cf-c3a5-4df8-b46d-400a07d4d845"/>
    <ds:schemaRef ds:uri="537dc3cd-f700-4cfc-a540-bc2ea359c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A12EF-6C0D-4C60-B545-9269938B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12046</Words>
  <Characters>67741</Characters>
  <Application>Microsoft Office Word</Application>
  <DocSecurity>0</DocSecurity>
  <Lines>564</Lines>
  <Paragraphs>159</Paragraphs>
  <ScaleCrop>false</ScaleCrop>
  <Company>Hewlett-Packard Company</Company>
  <LinksUpToDate>false</LinksUpToDate>
  <CharactersWithSpaces>79628</CharactersWithSpaces>
  <SharedDoc>false</SharedDoc>
  <HLinks>
    <vt:vector size="438" baseType="variant">
      <vt:variant>
        <vt:i4>2031667</vt:i4>
      </vt:variant>
      <vt:variant>
        <vt:i4>158</vt:i4>
      </vt:variant>
      <vt:variant>
        <vt:i4>0</vt:i4>
      </vt:variant>
      <vt:variant>
        <vt:i4>5</vt:i4>
      </vt:variant>
      <vt:variant>
        <vt:lpwstr/>
      </vt:variant>
      <vt:variant>
        <vt:lpwstr>_Toc185321526</vt:lpwstr>
      </vt:variant>
      <vt:variant>
        <vt:i4>2031667</vt:i4>
      </vt:variant>
      <vt:variant>
        <vt:i4>152</vt:i4>
      </vt:variant>
      <vt:variant>
        <vt:i4>0</vt:i4>
      </vt:variant>
      <vt:variant>
        <vt:i4>5</vt:i4>
      </vt:variant>
      <vt:variant>
        <vt:lpwstr/>
      </vt:variant>
      <vt:variant>
        <vt:lpwstr>_Toc185321525</vt:lpwstr>
      </vt:variant>
      <vt:variant>
        <vt:i4>2031667</vt:i4>
      </vt:variant>
      <vt:variant>
        <vt:i4>146</vt:i4>
      </vt:variant>
      <vt:variant>
        <vt:i4>0</vt:i4>
      </vt:variant>
      <vt:variant>
        <vt:i4>5</vt:i4>
      </vt:variant>
      <vt:variant>
        <vt:lpwstr/>
      </vt:variant>
      <vt:variant>
        <vt:lpwstr>_Toc185321524</vt:lpwstr>
      </vt:variant>
      <vt:variant>
        <vt:i4>2031667</vt:i4>
      </vt:variant>
      <vt:variant>
        <vt:i4>140</vt:i4>
      </vt:variant>
      <vt:variant>
        <vt:i4>0</vt:i4>
      </vt:variant>
      <vt:variant>
        <vt:i4>5</vt:i4>
      </vt:variant>
      <vt:variant>
        <vt:lpwstr/>
      </vt:variant>
      <vt:variant>
        <vt:lpwstr>_Toc185321523</vt:lpwstr>
      </vt:variant>
      <vt:variant>
        <vt:i4>2031667</vt:i4>
      </vt:variant>
      <vt:variant>
        <vt:i4>134</vt:i4>
      </vt:variant>
      <vt:variant>
        <vt:i4>0</vt:i4>
      </vt:variant>
      <vt:variant>
        <vt:i4>5</vt:i4>
      </vt:variant>
      <vt:variant>
        <vt:lpwstr/>
      </vt:variant>
      <vt:variant>
        <vt:lpwstr>_Toc185321522</vt:lpwstr>
      </vt:variant>
      <vt:variant>
        <vt:i4>2031667</vt:i4>
      </vt:variant>
      <vt:variant>
        <vt:i4>128</vt:i4>
      </vt:variant>
      <vt:variant>
        <vt:i4>0</vt:i4>
      </vt:variant>
      <vt:variant>
        <vt:i4>5</vt:i4>
      </vt:variant>
      <vt:variant>
        <vt:lpwstr/>
      </vt:variant>
      <vt:variant>
        <vt:lpwstr>_Toc185321521</vt:lpwstr>
      </vt:variant>
      <vt:variant>
        <vt:i4>2031667</vt:i4>
      </vt:variant>
      <vt:variant>
        <vt:i4>122</vt:i4>
      </vt:variant>
      <vt:variant>
        <vt:i4>0</vt:i4>
      </vt:variant>
      <vt:variant>
        <vt:i4>5</vt:i4>
      </vt:variant>
      <vt:variant>
        <vt:lpwstr/>
      </vt:variant>
      <vt:variant>
        <vt:lpwstr>_Toc185321520</vt:lpwstr>
      </vt:variant>
      <vt:variant>
        <vt:i4>1835059</vt:i4>
      </vt:variant>
      <vt:variant>
        <vt:i4>116</vt:i4>
      </vt:variant>
      <vt:variant>
        <vt:i4>0</vt:i4>
      </vt:variant>
      <vt:variant>
        <vt:i4>5</vt:i4>
      </vt:variant>
      <vt:variant>
        <vt:lpwstr/>
      </vt:variant>
      <vt:variant>
        <vt:lpwstr>_Toc185321519</vt:lpwstr>
      </vt:variant>
      <vt:variant>
        <vt:i4>1835059</vt:i4>
      </vt:variant>
      <vt:variant>
        <vt:i4>110</vt:i4>
      </vt:variant>
      <vt:variant>
        <vt:i4>0</vt:i4>
      </vt:variant>
      <vt:variant>
        <vt:i4>5</vt:i4>
      </vt:variant>
      <vt:variant>
        <vt:lpwstr/>
      </vt:variant>
      <vt:variant>
        <vt:lpwstr>_Toc185321518</vt:lpwstr>
      </vt:variant>
      <vt:variant>
        <vt:i4>1835059</vt:i4>
      </vt:variant>
      <vt:variant>
        <vt:i4>104</vt:i4>
      </vt:variant>
      <vt:variant>
        <vt:i4>0</vt:i4>
      </vt:variant>
      <vt:variant>
        <vt:i4>5</vt:i4>
      </vt:variant>
      <vt:variant>
        <vt:lpwstr/>
      </vt:variant>
      <vt:variant>
        <vt:lpwstr>_Toc185321517</vt:lpwstr>
      </vt:variant>
      <vt:variant>
        <vt:i4>1835059</vt:i4>
      </vt:variant>
      <vt:variant>
        <vt:i4>98</vt:i4>
      </vt:variant>
      <vt:variant>
        <vt:i4>0</vt:i4>
      </vt:variant>
      <vt:variant>
        <vt:i4>5</vt:i4>
      </vt:variant>
      <vt:variant>
        <vt:lpwstr/>
      </vt:variant>
      <vt:variant>
        <vt:lpwstr>_Toc185321516</vt:lpwstr>
      </vt:variant>
      <vt:variant>
        <vt:i4>1835059</vt:i4>
      </vt:variant>
      <vt:variant>
        <vt:i4>92</vt:i4>
      </vt:variant>
      <vt:variant>
        <vt:i4>0</vt:i4>
      </vt:variant>
      <vt:variant>
        <vt:i4>5</vt:i4>
      </vt:variant>
      <vt:variant>
        <vt:lpwstr/>
      </vt:variant>
      <vt:variant>
        <vt:lpwstr>_Toc185321515</vt:lpwstr>
      </vt:variant>
      <vt:variant>
        <vt:i4>1835059</vt:i4>
      </vt:variant>
      <vt:variant>
        <vt:i4>86</vt:i4>
      </vt:variant>
      <vt:variant>
        <vt:i4>0</vt:i4>
      </vt:variant>
      <vt:variant>
        <vt:i4>5</vt:i4>
      </vt:variant>
      <vt:variant>
        <vt:lpwstr/>
      </vt:variant>
      <vt:variant>
        <vt:lpwstr>_Toc185321514</vt:lpwstr>
      </vt:variant>
      <vt:variant>
        <vt:i4>1835059</vt:i4>
      </vt:variant>
      <vt:variant>
        <vt:i4>80</vt:i4>
      </vt:variant>
      <vt:variant>
        <vt:i4>0</vt:i4>
      </vt:variant>
      <vt:variant>
        <vt:i4>5</vt:i4>
      </vt:variant>
      <vt:variant>
        <vt:lpwstr/>
      </vt:variant>
      <vt:variant>
        <vt:lpwstr>_Toc185321513</vt:lpwstr>
      </vt:variant>
      <vt:variant>
        <vt:i4>1835059</vt:i4>
      </vt:variant>
      <vt:variant>
        <vt:i4>74</vt:i4>
      </vt:variant>
      <vt:variant>
        <vt:i4>0</vt:i4>
      </vt:variant>
      <vt:variant>
        <vt:i4>5</vt:i4>
      </vt:variant>
      <vt:variant>
        <vt:lpwstr/>
      </vt:variant>
      <vt:variant>
        <vt:lpwstr>_Toc185321512</vt:lpwstr>
      </vt:variant>
      <vt:variant>
        <vt:i4>1835059</vt:i4>
      </vt:variant>
      <vt:variant>
        <vt:i4>68</vt:i4>
      </vt:variant>
      <vt:variant>
        <vt:i4>0</vt:i4>
      </vt:variant>
      <vt:variant>
        <vt:i4>5</vt:i4>
      </vt:variant>
      <vt:variant>
        <vt:lpwstr/>
      </vt:variant>
      <vt:variant>
        <vt:lpwstr>_Toc185321511</vt:lpwstr>
      </vt:variant>
      <vt:variant>
        <vt:i4>1835059</vt:i4>
      </vt:variant>
      <vt:variant>
        <vt:i4>62</vt:i4>
      </vt:variant>
      <vt:variant>
        <vt:i4>0</vt:i4>
      </vt:variant>
      <vt:variant>
        <vt:i4>5</vt:i4>
      </vt:variant>
      <vt:variant>
        <vt:lpwstr/>
      </vt:variant>
      <vt:variant>
        <vt:lpwstr>_Toc185321510</vt:lpwstr>
      </vt:variant>
      <vt:variant>
        <vt:i4>1900595</vt:i4>
      </vt:variant>
      <vt:variant>
        <vt:i4>56</vt:i4>
      </vt:variant>
      <vt:variant>
        <vt:i4>0</vt:i4>
      </vt:variant>
      <vt:variant>
        <vt:i4>5</vt:i4>
      </vt:variant>
      <vt:variant>
        <vt:lpwstr/>
      </vt:variant>
      <vt:variant>
        <vt:lpwstr>_Toc185321509</vt:lpwstr>
      </vt:variant>
      <vt:variant>
        <vt:i4>1900595</vt:i4>
      </vt:variant>
      <vt:variant>
        <vt:i4>50</vt:i4>
      </vt:variant>
      <vt:variant>
        <vt:i4>0</vt:i4>
      </vt:variant>
      <vt:variant>
        <vt:i4>5</vt:i4>
      </vt:variant>
      <vt:variant>
        <vt:lpwstr/>
      </vt:variant>
      <vt:variant>
        <vt:lpwstr>_Toc185321508</vt:lpwstr>
      </vt:variant>
      <vt:variant>
        <vt:i4>1900595</vt:i4>
      </vt:variant>
      <vt:variant>
        <vt:i4>44</vt:i4>
      </vt:variant>
      <vt:variant>
        <vt:i4>0</vt:i4>
      </vt:variant>
      <vt:variant>
        <vt:i4>5</vt:i4>
      </vt:variant>
      <vt:variant>
        <vt:lpwstr/>
      </vt:variant>
      <vt:variant>
        <vt:lpwstr>_Toc185321507</vt:lpwstr>
      </vt:variant>
      <vt:variant>
        <vt:i4>1900595</vt:i4>
      </vt:variant>
      <vt:variant>
        <vt:i4>38</vt:i4>
      </vt:variant>
      <vt:variant>
        <vt:i4>0</vt:i4>
      </vt:variant>
      <vt:variant>
        <vt:i4>5</vt:i4>
      </vt:variant>
      <vt:variant>
        <vt:lpwstr/>
      </vt:variant>
      <vt:variant>
        <vt:lpwstr>_Toc185321506</vt:lpwstr>
      </vt:variant>
      <vt:variant>
        <vt:i4>1900595</vt:i4>
      </vt:variant>
      <vt:variant>
        <vt:i4>32</vt:i4>
      </vt:variant>
      <vt:variant>
        <vt:i4>0</vt:i4>
      </vt:variant>
      <vt:variant>
        <vt:i4>5</vt:i4>
      </vt:variant>
      <vt:variant>
        <vt:lpwstr/>
      </vt:variant>
      <vt:variant>
        <vt:lpwstr>_Toc185321505</vt:lpwstr>
      </vt:variant>
      <vt:variant>
        <vt:i4>1900595</vt:i4>
      </vt:variant>
      <vt:variant>
        <vt:i4>26</vt:i4>
      </vt:variant>
      <vt:variant>
        <vt:i4>0</vt:i4>
      </vt:variant>
      <vt:variant>
        <vt:i4>5</vt:i4>
      </vt:variant>
      <vt:variant>
        <vt:lpwstr/>
      </vt:variant>
      <vt:variant>
        <vt:lpwstr>_Toc185321504</vt:lpwstr>
      </vt:variant>
      <vt:variant>
        <vt:i4>1900595</vt:i4>
      </vt:variant>
      <vt:variant>
        <vt:i4>20</vt:i4>
      </vt:variant>
      <vt:variant>
        <vt:i4>0</vt:i4>
      </vt:variant>
      <vt:variant>
        <vt:i4>5</vt:i4>
      </vt:variant>
      <vt:variant>
        <vt:lpwstr/>
      </vt:variant>
      <vt:variant>
        <vt:lpwstr>_Toc185321503</vt:lpwstr>
      </vt:variant>
      <vt:variant>
        <vt:i4>1900595</vt:i4>
      </vt:variant>
      <vt:variant>
        <vt:i4>14</vt:i4>
      </vt:variant>
      <vt:variant>
        <vt:i4>0</vt:i4>
      </vt:variant>
      <vt:variant>
        <vt:i4>5</vt:i4>
      </vt:variant>
      <vt:variant>
        <vt:lpwstr/>
      </vt:variant>
      <vt:variant>
        <vt:lpwstr>_Toc185321502</vt:lpwstr>
      </vt:variant>
      <vt:variant>
        <vt:i4>1900595</vt:i4>
      </vt:variant>
      <vt:variant>
        <vt:i4>8</vt:i4>
      </vt:variant>
      <vt:variant>
        <vt:i4>0</vt:i4>
      </vt:variant>
      <vt:variant>
        <vt:i4>5</vt:i4>
      </vt:variant>
      <vt:variant>
        <vt:lpwstr/>
      </vt:variant>
      <vt:variant>
        <vt:lpwstr>_Toc185321501</vt:lpwstr>
      </vt:variant>
      <vt:variant>
        <vt:i4>1900595</vt:i4>
      </vt:variant>
      <vt:variant>
        <vt:i4>2</vt:i4>
      </vt:variant>
      <vt:variant>
        <vt:i4>0</vt:i4>
      </vt:variant>
      <vt:variant>
        <vt:i4>5</vt:i4>
      </vt:variant>
      <vt:variant>
        <vt:lpwstr/>
      </vt:variant>
      <vt:variant>
        <vt:lpwstr>_Toc185321500</vt:lpwstr>
      </vt:variant>
      <vt:variant>
        <vt:i4>524367</vt:i4>
      </vt:variant>
      <vt:variant>
        <vt:i4>135</vt:i4>
      </vt:variant>
      <vt:variant>
        <vt:i4>0</vt:i4>
      </vt:variant>
      <vt:variant>
        <vt:i4>5</vt:i4>
      </vt:variant>
      <vt:variant>
        <vt:lpwstr>https://wetten.overheid.nl/BWBV0006233/2014-12-24</vt:lpwstr>
      </vt:variant>
      <vt:variant>
        <vt:lpwstr/>
      </vt:variant>
      <vt:variant>
        <vt:i4>131121</vt:i4>
      </vt:variant>
      <vt:variant>
        <vt:i4>132</vt:i4>
      </vt:variant>
      <vt:variant>
        <vt:i4>0</vt:i4>
      </vt:variant>
      <vt:variant>
        <vt:i4>5</vt:i4>
      </vt:variant>
      <vt:variant>
        <vt:lpwstr>https://www.raadvanstate.nl/adviezen/@64744/w07-07-0100-ii/</vt:lpwstr>
      </vt:variant>
      <vt:variant>
        <vt:lpwstr/>
      </vt:variant>
      <vt:variant>
        <vt:i4>1638475</vt:i4>
      </vt:variant>
      <vt:variant>
        <vt:i4>129</vt:i4>
      </vt:variant>
      <vt:variant>
        <vt:i4>0</vt:i4>
      </vt:variant>
      <vt:variant>
        <vt:i4>5</vt:i4>
      </vt:variant>
      <vt:variant>
        <vt:lpwstr>https://www.rijksoverheid.nl/onderwerpen/internationale-vrede-en-veiligheid/internationaal-beleid-wapenbeheersing/verdragen-tegen-conventionele-wapens</vt:lpwstr>
      </vt:variant>
      <vt:variant>
        <vt:lpwstr>:~:text=Clustermunitie%20is%20een%20door%20een,tussen%20burger%2D%20en%20militaire%20doelen</vt:lpwstr>
      </vt:variant>
      <vt:variant>
        <vt:i4>8192120</vt:i4>
      </vt:variant>
      <vt:variant>
        <vt:i4>126</vt:i4>
      </vt:variant>
      <vt:variant>
        <vt:i4>0</vt:i4>
      </vt:variant>
      <vt:variant>
        <vt:i4>5</vt:i4>
      </vt:variant>
      <vt:variant>
        <vt:lpwstr>https://www.hrw.org/legacy/backgrounder/arms/clusters0704/2.htm</vt:lpwstr>
      </vt:variant>
      <vt:variant>
        <vt:lpwstr/>
      </vt:variant>
      <vt:variant>
        <vt:i4>1703967</vt:i4>
      </vt:variant>
      <vt:variant>
        <vt:i4>123</vt:i4>
      </vt:variant>
      <vt:variant>
        <vt:i4>0</vt:i4>
      </vt:variant>
      <vt:variant>
        <vt:i4>5</vt:i4>
      </vt:variant>
      <vt:variant>
        <vt:lpwstr>https://www.hrw.org/news/2023/07/06/ukraine-civilian-deaths-cluster-munitions</vt:lpwstr>
      </vt:variant>
      <vt:variant>
        <vt:lpwstr/>
      </vt:variant>
      <vt:variant>
        <vt:i4>8192100</vt:i4>
      </vt:variant>
      <vt:variant>
        <vt:i4>120</vt:i4>
      </vt:variant>
      <vt:variant>
        <vt:i4>0</vt:i4>
      </vt:variant>
      <vt:variant>
        <vt:i4>5</vt:i4>
      </vt:variant>
      <vt:variant>
        <vt:lpwstr>https://uitspraken.rechtspraak.nl/details?id=ECLI:NL:PHR:2024:1279</vt:lpwstr>
      </vt:variant>
      <vt:variant>
        <vt:lpwstr/>
      </vt:variant>
      <vt:variant>
        <vt:i4>4849679</vt:i4>
      </vt:variant>
      <vt:variant>
        <vt:i4>117</vt:i4>
      </vt:variant>
      <vt:variant>
        <vt:i4>0</vt:i4>
      </vt:variant>
      <vt:variant>
        <vt:i4>5</vt:i4>
      </vt:variant>
      <vt:variant>
        <vt:lpwstr>https://zoek.officielebekendmakingen.nl/kst-21501-02-GM.html</vt:lpwstr>
      </vt:variant>
      <vt:variant>
        <vt:lpwstr/>
      </vt:variant>
      <vt:variant>
        <vt:i4>3539066</vt:i4>
      </vt:variant>
      <vt:variant>
        <vt:i4>114</vt:i4>
      </vt:variant>
      <vt:variant>
        <vt:i4>0</vt:i4>
      </vt:variant>
      <vt:variant>
        <vt:i4>5</vt:i4>
      </vt:variant>
      <vt:variant>
        <vt:lpwstr>https://zoek.officielebekendmakingen.nl/kst-21501-02-GM.pdf</vt:lpwstr>
      </vt:variant>
      <vt:variant>
        <vt:lpwstr/>
      </vt:variant>
      <vt:variant>
        <vt:i4>8192100</vt:i4>
      </vt:variant>
      <vt:variant>
        <vt:i4>111</vt:i4>
      </vt:variant>
      <vt:variant>
        <vt:i4>0</vt:i4>
      </vt:variant>
      <vt:variant>
        <vt:i4>5</vt:i4>
      </vt:variant>
      <vt:variant>
        <vt:lpwstr>https://uitspraken.rechtspraak.nl/details?id=ECLI:NL:PHR:2024:1279</vt:lpwstr>
      </vt:variant>
      <vt:variant>
        <vt:lpwstr/>
      </vt:variant>
      <vt:variant>
        <vt:i4>3539066</vt:i4>
      </vt:variant>
      <vt:variant>
        <vt:i4>108</vt:i4>
      </vt:variant>
      <vt:variant>
        <vt:i4>0</vt:i4>
      </vt:variant>
      <vt:variant>
        <vt:i4>5</vt:i4>
      </vt:variant>
      <vt:variant>
        <vt:lpwstr>https://zoek.officielebekendmakingen.nl/kst-21501-02-GM.pdf</vt:lpwstr>
      </vt:variant>
      <vt:variant>
        <vt:lpwstr/>
      </vt:variant>
      <vt:variant>
        <vt:i4>3539066</vt:i4>
      </vt:variant>
      <vt:variant>
        <vt:i4>105</vt:i4>
      </vt:variant>
      <vt:variant>
        <vt:i4>0</vt:i4>
      </vt:variant>
      <vt:variant>
        <vt:i4>5</vt:i4>
      </vt:variant>
      <vt:variant>
        <vt:lpwstr>https://zoek.officielebekendmakingen.nl/kst-21501-02-GM.pdf</vt:lpwstr>
      </vt:variant>
      <vt:variant>
        <vt:lpwstr/>
      </vt:variant>
      <vt:variant>
        <vt:i4>3539066</vt:i4>
      </vt:variant>
      <vt:variant>
        <vt:i4>102</vt:i4>
      </vt:variant>
      <vt:variant>
        <vt:i4>0</vt:i4>
      </vt:variant>
      <vt:variant>
        <vt:i4>5</vt:i4>
      </vt:variant>
      <vt:variant>
        <vt:lpwstr>https://zoek.officielebekendmakingen.nl/kst-21501-02-GM.pdf</vt:lpwstr>
      </vt:variant>
      <vt:variant>
        <vt:lpwstr/>
      </vt:variant>
      <vt:variant>
        <vt:i4>1310794</vt:i4>
      </vt:variant>
      <vt:variant>
        <vt:i4>99</vt:i4>
      </vt:variant>
      <vt:variant>
        <vt:i4>0</vt:i4>
      </vt:variant>
      <vt:variant>
        <vt:i4>5</vt:i4>
      </vt:variant>
      <vt:variant>
        <vt:lpwstr>https://zoek.officielebekendmakingen.nl/kst-32187-6.html</vt:lpwstr>
      </vt:variant>
      <vt:variant>
        <vt:lpwstr/>
      </vt:variant>
      <vt:variant>
        <vt:i4>1310799</vt:i4>
      </vt:variant>
      <vt:variant>
        <vt:i4>96</vt:i4>
      </vt:variant>
      <vt:variant>
        <vt:i4>0</vt:i4>
      </vt:variant>
      <vt:variant>
        <vt:i4>5</vt:i4>
      </vt:variant>
      <vt:variant>
        <vt:lpwstr>https://zoek.officielebekendmakingen.nl/kst-32187-3.html</vt:lpwstr>
      </vt:variant>
      <vt:variant>
        <vt:lpwstr/>
      </vt:variant>
      <vt:variant>
        <vt:i4>6291557</vt:i4>
      </vt:variant>
      <vt:variant>
        <vt:i4>93</vt:i4>
      </vt:variant>
      <vt:variant>
        <vt:i4>0</vt:i4>
      </vt:variant>
      <vt:variant>
        <vt:i4>5</vt:i4>
      </vt:variant>
      <vt:variant>
        <vt:lpwstr>https://www.icrc.org/en/document/convention-cluster-munitions-interoperability-and-national-legislation</vt:lpwstr>
      </vt:variant>
      <vt:variant>
        <vt:lpwstr/>
      </vt:variant>
      <vt:variant>
        <vt:i4>4718609</vt:i4>
      </vt:variant>
      <vt:variant>
        <vt:i4>90</vt:i4>
      </vt:variant>
      <vt:variant>
        <vt:i4>0</vt:i4>
      </vt:variant>
      <vt:variant>
        <vt:i4>5</vt:i4>
      </vt:variant>
      <vt:variant>
        <vt:lpwstr>https://zoek.officielebekendmakingen.nl/kst-36410-V-L.pdf</vt:lpwstr>
      </vt:variant>
      <vt:variant>
        <vt:lpwstr/>
      </vt:variant>
      <vt:variant>
        <vt:i4>4849679</vt:i4>
      </vt:variant>
      <vt:variant>
        <vt:i4>87</vt:i4>
      </vt:variant>
      <vt:variant>
        <vt:i4>0</vt:i4>
      </vt:variant>
      <vt:variant>
        <vt:i4>5</vt:i4>
      </vt:variant>
      <vt:variant>
        <vt:lpwstr>https://zoek.officielebekendmakingen.nl/kst-21501-02-GM.html</vt:lpwstr>
      </vt:variant>
      <vt:variant>
        <vt:lpwstr/>
      </vt:variant>
      <vt:variant>
        <vt:i4>1310799</vt:i4>
      </vt:variant>
      <vt:variant>
        <vt:i4>84</vt:i4>
      </vt:variant>
      <vt:variant>
        <vt:i4>0</vt:i4>
      </vt:variant>
      <vt:variant>
        <vt:i4>5</vt:i4>
      </vt:variant>
      <vt:variant>
        <vt:lpwstr>https://zoek.officielebekendmakingen.nl/kst-32187-3.html</vt:lpwstr>
      </vt:variant>
      <vt:variant>
        <vt:lpwstr/>
      </vt:variant>
      <vt:variant>
        <vt:i4>1310799</vt:i4>
      </vt:variant>
      <vt:variant>
        <vt:i4>81</vt:i4>
      </vt:variant>
      <vt:variant>
        <vt:i4>0</vt:i4>
      </vt:variant>
      <vt:variant>
        <vt:i4>5</vt:i4>
      </vt:variant>
      <vt:variant>
        <vt:lpwstr>https://zoek.officielebekendmakingen.nl/kst-32187-3.html</vt:lpwstr>
      </vt:variant>
      <vt:variant>
        <vt:lpwstr/>
      </vt:variant>
      <vt:variant>
        <vt:i4>3080252</vt:i4>
      </vt:variant>
      <vt:variant>
        <vt:i4>78</vt:i4>
      </vt:variant>
      <vt:variant>
        <vt:i4>0</vt:i4>
      </vt:variant>
      <vt:variant>
        <vt:i4>5</vt:i4>
      </vt:variant>
      <vt:variant>
        <vt:lpwstr>https://verfassungsblog.de/cluster-munition-and-international-law/</vt:lpwstr>
      </vt:variant>
      <vt:variant>
        <vt:lpwstr/>
      </vt:variant>
      <vt:variant>
        <vt:i4>1114155</vt:i4>
      </vt:variant>
      <vt:variant>
        <vt:i4>75</vt:i4>
      </vt:variant>
      <vt:variant>
        <vt:i4>0</vt:i4>
      </vt:variant>
      <vt:variant>
        <vt:i4>5</vt:i4>
      </vt:variant>
      <vt:variant>
        <vt:lpwstr>https://law.yale.edu/sites/default/files/documents/pdf/cglc/yale_law_school_-_meaning_of_assist_encourage_or_induce.pdf</vt:lpwstr>
      </vt:variant>
      <vt:variant>
        <vt:lpwstr/>
      </vt:variant>
      <vt:variant>
        <vt:i4>1114155</vt:i4>
      </vt:variant>
      <vt:variant>
        <vt:i4>72</vt:i4>
      </vt:variant>
      <vt:variant>
        <vt:i4>0</vt:i4>
      </vt:variant>
      <vt:variant>
        <vt:i4>5</vt:i4>
      </vt:variant>
      <vt:variant>
        <vt:lpwstr>https://law.yale.edu/sites/default/files/documents/pdf/cglc/yale_law_school_-_meaning_of_assist_encourage_or_induce.pdf</vt:lpwstr>
      </vt:variant>
      <vt:variant>
        <vt:lpwstr/>
      </vt:variant>
      <vt:variant>
        <vt:i4>3932248</vt:i4>
      </vt:variant>
      <vt:variant>
        <vt:i4>69</vt:i4>
      </vt:variant>
      <vt:variant>
        <vt:i4>0</vt:i4>
      </vt:variant>
      <vt:variant>
        <vt:i4>5</vt:i4>
      </vt:variant>
      <vt:variant>
        <vt:lpwstr>https://wetten.overheid.nl/BWBV0003143/2011-08-01</vt:lpwstr>
      </vt:variant>
      <vt:variant>
        <vt:lpwstr>Verdrag_2</vt:lpwstr>
      </vt:variant>
      <vt:variant>
        <vt:i4>1572889</vt:i4>
      </vt:variant>
      <vt:variant>
        <vt:i4>66</vt:i4>
      </vt:variant>
      <vt:variant>
        <vt:i4>0</vt:i4>
      </vt:variant>
      <vt:variant>
        <vt:i4>5</vt:i4>
      </vt:variant>
      <vt:variant>
        <vt:lpwstr>https://www.rijksoverheid.nl/onderwerpen/internationale-vrede-en-veiligheid/internationaal-beleid-wapenbeheersing/verdragen-tegen-conventionele-wapens</vt:lpwstr>
      </vt:variant>
      <vt:variant>
        <vt:lpwstr>:~:text=Het%20Verdrag%20inzake%20Clustermunitie%20(CCM,veel%20menselijk%20leed%20kan%20veroorzaken</vt:lpwstr>
      </vt:variant>
      <vt:variant>
        <vt:i4>3932248</vt:i4>
      </vt:variant>
      <vt:variant>
        <vt:i4>63</vt:i4>
      </vt:variant>
      <vt:variant>
        <vt:i4>0</vt:i4>
      </vt:variant>
      <vt:variant>
        <vt:i4>5</vt:i4>
      </vt:variant>
      <vt:variant>
        <vt:lpwstr>https://wetten.overheid.nl/BWBV0003143/2011-08-01</vt:lpwstr>
      </vt:variant>
      <vt:variant>
        <vt:lpwstr>Verdrag_2</vt:lpwstr>
      </vt:variant>
      <vt:variant>
        <vt:i4>4849679</vt:i4>
      </vt:variant>
      <vt:variant>
        <vt:i4>60</vt:i4>
      </vt:variant>
      <vt:variant>
        <vt:i4>0</vt:i4>
      </vt:variant>
      <vt:variant>
        <vt:i4>5</vt:i4>
      </vt:variant>
      <vt:variant>
        <vt:lpwstr>https://zoek.officielebekendmakingen.nl/kst-21501-02-GM.html</vt:lpwstr>
      </vt:variant>
      <vt:variant>
        <vt:lpwstr/>
      </vt:variant>
      <vt:variant>
        <vt:i4>4718609</vt:i4>
      </vt:variant>
      <vt:variant>
        <vt:i4>57</vt:i4>
      </vt:variant>
      <vt:variant>
        <vt:i4>0</vt:i4>
      </vt:variant>
      <vt:variant>
        <vt:i4>5</vt:i4>
      </vt:variant>
      <vt:variant>
        <vt:lpwstr>https://zoek.officielebekendmakingen.nl/kst-36410-V-L.pdf</vt:lpwstr>
      </vt:variant>
      <vt:variant>
        <vt:lpwstr/>
      </vt:variant>
      <vt:variant>
        <vt:i4>1966106</vt:i4>
      </vt:variant>
      <vt:variant>
        <vt:i4>54</vt:i4>
      </vt:variant>
      <vt:variant>
        <vt:i4>0</vt:i4>
      </vt:variant>
      <vt:variant>
        <vt:i4>5</vt:i4>
      </vt:variant>
      <vt:variant>
        <vt:lpwstr>https://www.economist.com/europe/2024/08/04/how-much-of-a-difference-will-ukraines-new-f-16s-make</vt:lpwstr>
      </vt:variant>
      <vt:variant>
        <vt:lpwstr/>
      </vt:variant>
      <vt:variant>
        <vt:i4>7864378</vt:i4>
      </vt:variant>
      <vt:variant>
        <vt:i4>51</vt:i4>
      </vt:variant>
      <vt:variant>
        <vt:i4>0</vt:i4>
      </vt:variant>
      <vt:variant>
        <vt:i4>5</vt:i4>
      </vt:variant>
      <vt:variant>
        <vt:lpwstr>https://www.trouw.nl/nieuws/defensie-vernietigt-clusterbommen-van-f-16-s~b5217225/</vt:lpwstr>
      </vt:variant>
      <vt:variant>
        <vt:lpwstr/>
      </vt:variant>
      <vt:variant>
        <vt:i4>1703967</vt:i4>
      </vt:variant>
      <vt:variant>
        <vt:i4>48</vt:i4>
      </vt:variant>
      <vt:variant>
        <vt:i4>0</vt:i4>
      </vt:variant>
      <vt:variant>
        <vt:i4>5</vt:i4>
      </vt:variant>
      <vt:variant>
        <vt:lpwstr>https://www.hrw.org/news/2023/07/06/ukraine-civilian-deaths-cluster-munitions</vt:lpwstr>
      </vt:variant>
      <vt:variant>
        <vt:lpwstr/>
      </vt:variant>
      <vt:variant>
        <vt:i4>7340139</vt:i4>
      </vt:variant>
      <vt:variant>
        <vt:i4>45</vt:i4>
      </vt:variant>
      <vt:variant>
        <vt:i4>0</vt:i4>
      </vt:variant>
      <vt:variant>
        <vt:i4>5</vt:i4>
      </vt:variant>
      <vt:variant>
        <vt:lpwstr>https://www.hrw.org/news/2015/03/19/ukraine-more-civilians-killed-cluster-munition-attacks</vt:lpwstr>
      </vt:variant>
      <vt:variant>
        <vt:lpwstr/>
      </vt:variant>
      <vt:variant>
        <vt:i4>65548</vt:i4>
      </vt:variant>
      <vt:variant>
        <vt:i4>42</vt:i4>
      </vt:variant>
      <vt:variant>
        <vt:i4>0</vt:i4>
      </vt:variant>
      <vt:variant>
        <vt:i4>5</vt:i4>
      </vt:variant>
      <vt:variant>
        <vt:lpwstr>https://www.hrw.org/news/2014/10/20/ukraine-widespread-use-cluster-munitions</vt:lpwstr>
      </vt:variant>
      <vt:variant>
        <vt:lpwstr/>
      </vt:variant>
      <vt:variant>
        <vt:i4>1703967</vt:i4>
      </vt:variant>
      <vt:variant>
        <vt:i4>39</vt:i4>
      </vt:variant>
      <vt:variant>
        <vt:i4>0</vt:i4>
      </vt:variant>
      <vt:variant>
        <vt:i4>5</vt:i4>
      </vt:variant>
      <vt:variant>
        <vt:lpwstr>https://www.hrw.org/news/2023/07/06/ukraine-civilian-deaths-cluster-munitions</vt:lpwstr>
      </vt:variant>
      <vt:variant>
        <vt:lpwstr/>
      </vt:variant>
      <vt:variant>
        <vt:i4>1703967</vt:i4>
      </vt:variant>
      <vt:variant>
        <vt:i4>36</vt:i4>
      </vt:variant>
      <vt:variant>
        <vt:i4>0</vt:i4>
      </vt:variant>
      <vt:variant>
        <vt:i4>5</vt:i4>
      </vt:variant>
      <vt:variant>
        <vt:lpwstr>https://www.hrw.org/news/2023/07/06/ukraine-civilian-deaths-cluster-munitions</vt:lpwstr>
      </vt:variant>
      <vt:variant>
        <vt:lpwstr/>
      </vt:variant>
      <vt:variant>
        <vt:i4>1310768</vt:i4>
      </vt:variant>
      <vt:variant>
        <vt:i4>33</vt:i4>
      </vt:variant>
      <vt:variant>
        <vt:i4>0</vt:i4>
      </vt:variant>
      <vt:variant>
        <vt:i4>5</vt:i4>
      </vt:variant>
      <vt:variant>
        <vt:lpwstr>https://www.ohchr.org/sites/default/files/documents/hrbodies/hrcouncil/coiukraine/A_HRC_52_62_AUV_EN.pdf</vt:lpwstr>
      </vt:variant>
      <vt:variant>
        <vt:lpwstr/>
      </vt:variant>
      <vt:variant>
        <vt:i4>4325440</vt:i4>
      </vt:variant>
      <vt:variant>
        <vt:i4>30</vt:i4>
      </vt:variant>
      <vt:variant>
        <vt:i4>0</vt:i4>
      </vt:variant>
      <vt:variant>
        <vt:i4>5</vt:i4>
      </vt:variant>
      <vt:variant>
        <vt:lpwstr>https://x.com/oleksiireznikov/status/1677410470108471298</vt:lpwstr>
      </vt:variant>
      <vt:variant>
        <vt:lpwstr/>
      </vt:variant>
      <vt:variant>
        <vt:i4>1703967</vt:i4>
      </vt:variant>
      <vt:variant>
        <vt:i4>27</vt:i4>
      </vt:variant>
      <vt:variant>
        <vt:i4>0</vt:i4>
      </vt:variant>
      <vt:variant>
        <vt:i4>5</vt:i4>
      </vt:variant>
      <vt:variant>
        <vt:lpwstr>https://www.hrw.org/news/2023/07/06/ukraine-civilian-deaths-cluster-munitions</vt:lpwstr>
      </vt:variant>
      <vt:variant>
        <vt:lpwstr/>
      </vt:variant>
      <vt:variant>
        <vt:i4>1966161</vt:i4>
      </vt:variant>
      <vt:variant>
        <vt:i4>24</vt:i4>
      </vt:variant>
      <vt:variant>
        <vt:i4>0</vt:i4>
      </vt:variant>
      <vt:variant>
        <vt:i4>5</vt:i4>
      </vt:variant>
      <vt:variant>
        <vt:lpwstr>https://www.luchtvaartnieuws.nl/nieuws/categorie/4/militair/f-16s-actief-in-luchtruim-boven-oekraine</vt:lpwstr>
      </vt:variant>
      <vt:variant>
        <vt:lpwstr/>
      </vt:variant>
      <vt:variant>
        <vt:i4>1245212</vt:i4>
      </vt:variant>
      <vt:variant>
        <vt:i4>21</vt:i4>
      </vt:variant>
      <vt:variant>
        <vt:i4>0</vt:i4>
      </vt:variant>
      <vt:variant>
        <vt:i4>5</vt:i4>
      </vt:variant>
      <vt:variant>
        <vt:lpwstr>https://www.defensie.nl/onderwerpen/materieel/nieuws/2024/07/10/%E2%82%AC-300-miljoen-extra-om-voor-oekraine-bestemde-f-16s-te-bewapenen</vt:lpwstr>
      </vt:variant>
      <vt:variant>
        <vt:lpwstr/>
      </vt:variant>
      <vt:variant>
        <vt:i4>1245212</vt:i4>
      </vt:variant>
      <vt:variant>
        <vt:i4>18</vt:i4>
      </vt:variant>
      <vt:variant>
        <vt:i4>0</vt:i4>
      </vt:variant>
      <vt:variant>
        <vt:i4>5</vt:i4>
      </vt:variant>
      <vt:variant>
        <vt:lpwstr>https://www.defensie.nl/onderwerpen/materieel/nieuws/2024/07/10/%E2%82%AC-300-miljoen-extra-om-voor-oekraine-bestemde-f-16s-te-bewapenen</vt:lpwstr>
      </vt:variant>
      <vt:variant>
        <vt:lpwstr/>
      </vt:variant>
      <vt:variant>
        <vt:i4>1179675</vt:i4>
      </vt:variant>
      <vt:variant>
        <vt:i4>15</vt:i4>
      </vt:variant>
      <vt:variant>
        <vt:i4>0</vt:i4>
      </vt:variant>
      <vt:variant>
        <vt:i4>5</vt:i4>
      </vt:variant>
      <vt:variant>
        <vt:lpwstr>https://www.defensie.nl/onderwerpen/oostflank-navo-gebied/nieuws/2024/09/06/munitie-en-ondersteuningsmaterialen-voor-oekraiense-f-16s</vt:lpwstr>
      </vt:variant>
      <vt:variant>
        <vt:lpwstr/>
      </vt:variant>
      <vt:variant>
        <vt:i4>2031641</vt:i4>
      </vt:variant>
      <vt:variant>
        <vt:i4>12</vt:i4>
      </vt:variant>
      <vt:variant>
        <vt:i4>0</vt:i4>
      </vt:variant>
      <vt:variant>
        <vt:i4>5</vt:i4>
      </vt:variant>
      <vt:variant>
        <vt:lpwstr>https://www.defensie.nl/onderwerpen/oostflank-navo-gebied/nieuws/2024/05/21/oekraiense-militairen-in-nederland-opgeleid-voor-onderhoud-f-16s</vt:lpwstr>
      </vt:variant>
      <vt:variant>
        <vt:lpwstr/>
      </vt:variant>
      <vt:variant>
        <vt:i4>65617</vt:i4>
      </vt:variant>
      <vt:variant>
        <vt:i4>9</vt:i4>
      </vt:variant>
      <vt:variant>
        <vt:i4>0</vt:i4>
      </vt:variant>
      <vt:variant>
        <vt:i4>5</vt:i4>
      </vt:variant>
      <vt:variant>
        <vt:lpwstr>https://www.defensie.nl/onderwerpen/oostflank-navo-gebied/nieuws/2024/12/13/nederlandse-f16s-krijgen-een-nieuwe-bestemming-in-roemenie-voor-training-van-vliegers</vt:lpwstr>
      </vt:variant>
      <vt:variant>
        <vt:lpwstr/>
      </vt:variant>
      <vt:variant>
        <vt:i4>7012397</vt:i4>
      </vt:variant>
      <vt:variant>
        <vt:i4>6</vt:i4>
      </vt:variant>
      <vt:variant>
        <vt:i4>0</vt:i4>
      </vt:variant>
      <vt:variant>
        <vt:i4>5</vt:i4>
      </vt:variant>
      <vt:variant>
        <vt:lpwstr>https://www.defensie.nl/onderwerpen/oostflank-navo-gebied/militaire-steun-aan-oekraine</vt:lpwstr>
      </vt:variant>
      <vt:variant>
        <vt:lpwstr/>
      </vt:variant>
      <vt:variant>
        <vt:i4>5111816</vt:i4>
      </vt:variant>
      <vt:variant>
        <vt:i4>3</vt:i4>
      </vt:variant>
      <vt:variant>
        <vt:i4>0</vt:i4>
      </vt:variant>
      <vt:variant>
        <vt:i4>5</vt:i4>
      </vt:variant>
      <vt:variant>
        <vt:lpwstr>https://www.defensie.nl/onderwerpen/oostflank-navo-gebied/nieuws/2024/10/05/na-f-16s-kondigt-brekelmans-in-oekraine-actieplan-drones-aan</vt:lpwstr>
      </vt:variant>
      <vt:variant>
        <vt:lpwstr/>
      </vt:variant>
      <vt:variant>
        <vt:i4>7012397</vt:i4>
      </vt:variant>
      <vt:variant>
        <vt:i4>0</vt:i4>
      </vt:variant>
      <vt:variant>
        <vt:i4>0</vt:i4>
      </vt:variant>
      <vt:variant>
        <vt:i4>5</vt:i4>
      </vt:variant>
      <vt:variant>
        <vt:lpwstr>https://www.defensie.nl/onderwerpen/oostflank-navo-gebied/militaire-steun-aan-oekraine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Prakken d Oliveira Human Rights Lawyers</dc:creator>
  <cp:keywords/>
  <dc:description/>
  <cp:lastModifiedBy>Liesbeth Zegveld</cp:lastModifiedBy>
  <cp:revision>801</cp:revision>
  <dcterms:created xsi:type="dcterms:W3CDTF">2024-12-14T22:47:00Z</dcterms:created>
  <dcterms:modified xsi:type="dcterms:W3CDTF">2024-12-19T08:42:00Z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0x0101009B1A3A9B2759244486BAC3939394AF28</vt:lpwstr>
  </property>
  <property fmtid="{D5CDD505-2E9C-101B-9397-08002B2CF9AE}" pid="3" name="Order">
    <vt:r8>3000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